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0C" w:rsidRPr="0023696F" w:rsidRDefault="004E5F0C" w:rsidP="003E5FCF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Al </w:t>
      </w:r>
    </w:p>
    <w:p w:rsidR="008862A7" w:rsidRPr="001247D2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MINISTERO DELLA SALUTE</w:t>
      </w:r>
    </w:p>
    <w:p w:rsidR="00C703C5" w:rsidRDefault="00C703C5" w:rsidP="00C703C5">
      <w:pPr>
        <w:suppressAutoHyphens w:val="0"/>
        <w:autoSpaceDE/>
        <w:adjustRightInd/>
        <w:spacing w:after="0" w:line="253" w:lineRule="atLeast"/>
        <w:ind w:left="-709" w:firstLine="709"/>
        <w:rPr>
          <w:rFonts w:ascii="Arial" w:hAnsi="Arial"/>
          <w:color w:val="000000"/>
          <w:kern w:val="0"/>
          <w:sz w:val="22"/>
          <w:szCs w:val="22"/>
          <w:lang w:eastAsia="de-DE" w:bidi="ar-SA"/>
        </w:rPr>
      </w:pPr>
      <w:r w:rsidRPr="0023696F">
        <w:rPr>
          <w:rFonts w:ascii="Arial" w:hAnsi="Arial"/>
          <w:color w:val="000000"/>
          <w:kern w:val="0"/>
          <w:sz w:val="22"/>
          <w:szCs w:val="22"/>
          <w:lang w:eastAsia="de-DE" w:bidi="ar-SA"/>
        </w:rPr>
        <w:t>Direzione generale della digitalizzazione, del sistema informativo sanitario</w:t>
      </w:r>
    </w:p>
    <w:p w:rsidR="00C703C5" w:rsidRPr="001247D2" w:rsidRDefault="00C703C5" w:rsidP="00C703C5">
      <w:pPr>
        <w:suppressAutoHyphens w:val="0"/>
        <w:autoSpaceDE/>
        <w:adjustRightInd/>
        <w:spacing w:after="0" w:line="253" w:lineRule="atLeast"/>
        <w:ind w:left="-709" w:firstLine="709"/>
        <w:rPr>
          <w:rFonts w:ascii="Arial" w:hAnsi="Arial"/>
          <w:b/>
          <w:bCs/>
          <w:color w:val="000000"/>
          <w:kern w:val="0"/>
          <w:sz w:val="22"/>
          <w:szCs w:val="22"/>
          <w:lang w:eastAsia="de-DE" w:bidi="ar-SA"/>
        </w:rPr>
      </w:pPr>
      <w:r w:rsidRPr="001247D2">
        <w:rPr>
          <w:rFonts w:ascii="Arial" w:hAnsi="Arial"/>
          <w:b/>
          <w:bCs/>
          <w:color w:val="000000"/>
          <w:kern w:val="0"/>
          <w:sz w:val="22"/>
          <w:szCs w:val="22"/>
          <w:lang w:eastAsia="de-DE" w:bidi="ar-SA"/>
        </w:rPr>
        <w:t>Dott. Giuseppe Viggiano</w:t>
      </w:r>
    </w:p>
    <w:p w:rsidR="00DF32D7" w:rsidRPr="0023696F" w:rsidRDefault="001247D2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e</w:t>
      </w:r>
      <w:r w:rsidR="00C703C5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 </w:t>
      </w: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i</w:t>
      </w:r>
      <w:r w:rsidR="00DF32D7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n persona della Responsabile del procedimento sanzionatorio</w:t>
      </w:r>
    </w:p>
    <w:p w:rsidR="00DF32D7" w:rsidRPr="001247D2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Dott.ssa Serena BATTILOMO</w:t>
      </w:r>
    </w:p>
    <w:p w:rsidR="00DF32D7" w:rsidRPr="0023696F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Viale Giorgio Ribotta, 5</w:t>
      </w:r>
    </w:p>
    <w:p w:rsidR="00DF32D7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00144 Roma</w:t>
      </w:r>
    </w:p>
    <w:p w:rsidR="00C703C5" w:rsidRDefault="00C703C5" w:rsidP="00C703C5">
      <w:pPr>
        <w:suppressAutoHyphens w:val="0"/>
        <w:autoSpaceDE/>
        <w:adjustRightInd/>
        <w:spacing w:after="0" w:line="253" w:lineRule="atLeast"/>
        <w:ind w:left="4955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proofErr w:type="spellStart"/>
      <w:r w:rsidRPr="0023696F">
        <w:rPr>
          <w:rFonts w:ascii="Arial" w:hAnsi="Arial"/>
          <w:color w:val="000000"/>
          <w:kern w:val="0"/>
          <w:sz w:val="22"/>
          <w:szCs w:val="22"/>
          <w:lang w:eastAsia="de-DE" w:bidi="ar-SA"/>
        </w:rPr>
        <w:t>pec</w:t>
      </w:r>
      <w:proofErr w:type="spellEnd"/>
      <w:r w:rsidRPr="0023696F">
        <w:rPr>
          <w:rFonts w:ascii="Arial" w:hAnsi="Arial"/>
          <w:color w:val="000000"/>
          <w:kern w:val="0"/>
          <w:sz w:val="22"/>
          <w:szCs w:val="22"/>
          <w:lang w:eastAsia="de-DE" w:bidi="ar-SA"/>
        </w:rPr>
        <w:t xml:space="preserve">: </w:t>
      </w:r>
      <w:hyperlink r:id="rId8" w:history="1">
        <w:r w:rsidRPr="002F1269">
          <w:rPr>
            <w:rStyle w:val="Hyperlink"/>
            <w:rFonts w:ascii="Arial" w:hAnsi="Arial" w:cs="Arial"/>
            <w:kern w:val="0"/>
            <w:sz w:val="22"/>
            <w:szCs w:val="22"/>
            <w:lang w:eastAsia="de-DE" w:bidi="ar-SA"/>
          </w:rPr>
          <w:t>dgsi@postacert.sanita.it</w:t>
        </w:r>
      </w:hyperlink>
    </w:p>
    <w:p w:rsidR="00DF32D7" w:rsidRPr="0023696F" w:rsidRDefault="00DF32D7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9C7BD0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e</w:t>
      </w:r>
      <w:r w:rsidR="009C7BD0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 xml:space="preserve">mail: </w:t>
      </w:r>
      <w:r w:rsidR="00A013DB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s.battilomo@sanita.it</w:t>
      </w:r>
    </w:p>
    <w:p w:rsidR="00A013DB" w:rsidRPr="0023696F" w:rsidRDefault="00A013DB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ab/>
      </w:r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e</w:t>
      </w:r>
      <w:r w:rsidR="009C7BD0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 xml:space="preserve">mail: </w:t>
      </w:r>
      <w:hyperlink r:id="rId9" w:history="1">
        <w:r w:rsidR="009C7BD0" w:rsidRPr="0023696F">
          <w:rPr>
            <w:rStyle w:val="Hyperlink"/>
            <w:rFonts w:ascii="Arial" w:hAnsi="Arial" w:cs="Arial"/>
            <w:kern w:val="0"/>
            <w:sz w:val="22"/>
            <w:szCs w:val="22"/>
            <w:lang w:val="en-US" w:eastAsia="de-DE" w:bidi="ar-SA"/>
          </w:rPr>
          <w:t>obbligovaccinale@sanità.it</w:t>
        </w:r>
      </w:hyperlink>
    </w:p>
    <w:p w:rsidR="00A013DB" w:rsidRPr="0023696F" w:rsidRDefault="00A013DB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</w:p>
    <w:p w:rsidR="00ED0BC4" w:rsidRPr="00ED0BC4" w:rsidRDefault="00ED0BC4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 w:rsidRPr="00ED0BC4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All’</w:t>
      </w:r>
    </w:p>
    <w:p w:rsidR="00A013DB" w:rsidRPr="001247D2" w:rsidRDefault="00A013DB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AGENZIA ENTRATE RISCOSSIONE</w:t>
      </w:r>
    </w:p>
    <w:p w:rsidR="00A013DB" w:rsidRPr="0023696F" w:rsidRDefault="009C7BD0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In persona del Responsabile di emissione e invio</w:t>
      </w:r>
      <w:r w:rsidR="00E21F4B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 della</w:t>
      </w:r>
    </w:p>
    <w:p w:rsidR="009C7BD0" w:rsidRPr="0023696F" w:rsidRDefault="009C7BD0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comunicazione di avvio del procedimento sanzionatorio</w:t>
      </w:r>
    </w:p>
    <w:p w:rsidR="00E21F4B" w:rsidRPr="001247D2" w:rsidRDefault="009C7BD0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</w:pPr>
      <w:r w:rsidRPr="001247D2">
        <w:rPr>
          <w:rStyle w:val="Hyperlink"/>
          <w:rFonts w:ascii="Arial" w:hAnsi="Arial" w:cs="Arial"/>
          <w:b/>
          <w:bCs/>
          <w:color w:val="auto"/>
          <w:kern w:val="0"/>
          <w:sz w:val="22"/>
          <w:szCs w:val="22"/>
          <w:u w:val="none"/>
          <w:lang w:eastAsia="de-DE" w:bidi="ar-SA"/>
        </w:rPr>
        <w:t>Ing. Francesco MILO</w:t>
      </w:r>
    </w:p>
    <w:p w:rsidR="002F278F" w:rsidRDefault="002F278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Via Giuseppe </w:t>
      </w:r>
      <w:proofErr w:type="spellStart"/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Grezar</w:t>
      </w:r>
      <w:proofErr w:type="spellEnd"/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 n. 14</w:t>
      </w:r>
    </w:p>
    <w:p w:rsidR="002F278F" w:rsidRPr="0023696F" w:rsidRDefault="002F278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00141 Roma</w:t>
      </w:r>
    </w:p>
    <w:p w:rsidR="0023696F" w:rsidRPr="0023696F" w:rsidRDefault="009C7BD0" w:rsidP="00B52025">
      <w:pPr>
        <w:spacing w:after="0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E21F4B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proofErr w:type="spellStart"/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p</w:t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>ec</w:t>
      </w:r>
      <w:proofErr w:type="spellEnd"/>
      <w:r w:rsidR="0023696F"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 xml:space="preserve">: </w:t>
      </w:r>
      <w:hyperlink r:id="rId10" w:history="1">
        <w:r w:rsidR="0023696F" w:rsidRPr="0023696F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protocollo@pec.agenziariscossione.gov.it</w:t>
        </w:r>
      </w:hyperlink>
    </w:p>
    <w:p w:rsidR="00E21F4B" w:rsidRDefault="00E21F4B" w:rsidP="00B52025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  <w:tab/>
      </w:r>
      <w:r w:rsidRPr="0023696F"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 xml:space="preserve">email: </w:t>
      </w:r>
      <w:hyperlink r:id="rId11" w:history="1">
        <w:r w:rsidR="0023696F" w:rsidRPr="002F1269">
          <w:rPr>
            <w:rStyle w:val="Hyperlink"/>
            <w:rFonts w:ascii="Arial" w:hAnsi="Arial" w:cs="Arial"/>
            <w:kern w:val="0"/>
            <w:sz w:val="22"/>
            <w:szCs w:val="22"/>
            <w:lang w:val="en-US" w:eastAsia="de-DE" w:bidi="ar-SA"/>
          </w:rPr>
          <w:t>francesco.milo@agenziariscossione.gov.it</w:t>
        </w:r>
      </w:hyperlink>
    </w:p>
    <w:p w:rsidR="0023696F" w:rsidRDefault="0023696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</w:p>
    <w:p w:rsidR="00ED0BC4" w:rsidRDefault="00ED0BC4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</w:pPr>
      <w:r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val="en-US" w:eastAsia="de-DE" w:bidi="ar-SA"/>
        </w:rPr>
        <w:t>All’</w:t>
      </w:r>
    </w:p>
    <w:p w:rsidR="0023696F" w:rsidRPr="00410102" w:rsidRDefault="0023696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</w:pP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 xml:space="preserve">AZIENDA SANITARIA </w:t>
      </w:r>
      <w:r w:rsidR="00410102"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>LOCALE</w:t>
      </w:r>
    </w:p>
    <w:p w:rsidR="00410102" w:rsidRPr="00410102" w:rsidRDefault="00410102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</w:pP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>di ……..</w:t>
      </w:r>
      <w:r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>(indicare l’ASL territorialmente competente)</w:t>
      </w:r>
    </w:p>
    <w:p w:rsidR="0023696F" w:rsidRPr="00410102" w:rsidRDefault="0023696F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</w:pP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>Direzione Generale</w:t>
      </w:r>
    </w:p>
    <w:p w:rsidR="00410102" w:rsidRPr="00410102" w:rsidRDefault="00410102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</w:pP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>(indirizzo)</w:t>
      </w:r>
    </w:p>
    <w:p w:rsidR="00E34A0C" w:rsidRPr="00410102" w:rsidRDefault="00E34A0C" w:rsidP="008862A7">
      <w:pPr>
        <w:suppressAutoHyphens w:val="0"/>
        <w:autoSpaceDE/>
        <w:adjustRightInd/>
        <w:spacing w:after="0" w:line="253" w:lineRule="atLeast"/>
        <w:ind w:left="-709" w:firstLine="709"/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</w:pP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ab/>
      </w: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ab/>
      </w: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ab/>
      </w: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ab/>
      </w: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ab/>
      </w: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ab/>
      </w:r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ab/>
      </w:r>
      <w:proofErr w:type="spellStart"/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>pec</w:t>
      </w:r>
      <w:proofErr w:type="spellEnd"/>
      <w:r w:rsidRP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 xml:space="preserve">. </w:t>
      </w:r>
      <w:r w:rsidR="00410102">
        <w:rPr>
          <w:rStyle w:val="Hyperlink"/>
          <w:rFonts w:ascii="Arial" w:hAnsi="Arial" w:cs="Arial"/>
          <w:color w:val="auto"/>
          <w:kern w:val="0"/>
          <w:highlight w:val="yellow"/>
          <w:u w:val="none"/>
          <w:lang w:eastAsia="de-DE" w:bidi="ar-SA"/>
        </w:rPr>
        <w:t>………………………………..</w:t>
      </w:r>
    </w:p>
    <w:p w:rsidR="0023696F" w:rsidRPr="00B56C38" w:rsidRDefault="00B56C38" w:rsidP="00E34A0C">
      <w:pPr>
        <w:suppressAutoHyphens w:val="0"/>
        <w:autoSpaceDE/>
        <w:adjustRightInd/>
        <w:spacing w:after="0" w:line="253" w:lineRule="atLeast"/>
        <w:ind w:left="4248" w:firstLine="708"/>
        <w:rPr>
          <w:rStyle w:val="Hyperlink"/>
          <w:rFonts w:ascii="Arial" w:hAnsi="Arial" w:cs="Arial"/>
          <w:color w:val="auto"/>
          <w:kern w:val="0"/>
          <w:sz w:val="22"/>
          <w:szCs w:val="22"/>
          <w:u w:val="none"/>
          <w:lang w:eastAsia="de-DE" w:bidi="ar-SA"/>
        </w:rPr>
      </w:pPr>
      <w:r w:rsidRPr="00410102">
        <w:rPr>
          <w:rFonts w:ascii="Arial" w:hAnsi="Arial"/>
          <w:color w:val="333333"/>
          <w:sz w:val="22"/>
          <w:szCs w:val="22"/>
          <w:highlight w:val="yellow"/>
          <w:shd w:val="clear" w:color="auto" w:fill="FFFFFF"/>
        </w:rPr>
        <w:t>e-mail:</w:t>
      </w:r>
      <w:r w:rsidRPr="00084808">
        <w:rPr>
          <w:rFonts w:ascii="Arial" w:hAnsi="Arial"/>
          <w:color w:val="333333"/>
          <w:sz w:val="22"/>
          <w:szCs w:val="22"/>
          <w:shd w:val="clear" w:color="auto" w:fill="FFFFFF"/>
        </w:rPr>
        <w:t xml:space="preserve"> </w:t>
      </w:r>
      <w:r w:rsidR="00410102">
        <w:rPr>
          <w:rFonts w:ascii="Arial" w:hAnsi="Arial"/>
          <w:color w:val="333333"/>
          <w:sz w:val="22"/>
          <w:szCs w:val="22"/>
          <w:shd w:val="clear" w:color="auto" w:fill="FFFFFF"/>
        </w:rPr>
        <w:t>…………………………………</w:t>
      </w:r>
    </w:p>
    <w:p w:rsidR="00855F4E" w:rsidRPr="00B56C38" w:rsidRDefault="00855F4E" w:rsidP="00855F4E">
      <w:pPr>
        <w:rPr>
          <w:rFonts w:ascii="Arial" w:hAnsi="Arial"/>
          <w:sz w:val="22"/>
          <w:szCs w:val="22"/>
        </w:rPr>
      </w:pPr>
    </w:p>
    <w:p w:rsidR="0053521C" w:rsidRPr="00B56C38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ISTANZA DI AUTOTUTELA</w:t>
      </w:r>
    </w:p>
    <w:p w:rsid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 MERITO ALLA COMUNICAZIONE DI AVVIO DEL PROCEDIMENTO SANZIONATORIO</w:t>
      </w:r>
    </w:p>
    <w:p w:rsidR="0053521C" w:rsidRP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</w:rPr>
      </w:pPr>
      <w:r w:rsidRPr="0053521C">
        <w:rPr>
          <w:rFonts w:ascii="Arial" w:hAnsi="Arial"/>
          <w:b/>
          <w:bCs/>
          <w:sz w:val="22"/>
          <w:szCs w:val="22"/>
        </w:rPr>
        <w:t>(art. 4-sexies, comma 3, del D.L. n. 44/2021, convertito, con modificazioni, dalla legge n. 76/2021)</w:t>
      </w:r>
    </w:p>
    <w:p w:rsidR="0053521C" w:rsidRDefault="0053521C" w:rsidP="00BF2F69">
      <w:pPr>
        <w:spacing w:after="0" w:line="24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 xml:space="preserve">Il/la sottoscritto/a </w:t>
      </w:r>
      <w:r w:rsidRPr="00E15D5C">
        <w:rPr>
          <w:rFonts w:ascii="Arial" w:hAnsi="Arial"/>
          <w:sz w:val="22"/>
          <w:szCs w:val="22"/>
          <w:highlight w:val="yellow"/>
        </w:rPr>
        <w:t>………………………,</w:t>
      </w:r>
      <w:r w:rsidRPr="00E15D5C">
        <w:rPr>
          <w:rFonts w:ascii="Arial" w:hAnsi="Arial"/>
          <w:sz w:val="22"/>
          <w:szCs w:val="22"/>
        </w:rPr>
        <w:t xml:space="preserve"> 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>nat</w:t>
      </w:r>
      <w:r w:rsidR="000624F6" w:rsidRPr="00E15D5C">
        <w:rPr>
          <w:rFonts w:ascii="Arial" w:hAnsi="Arial"/>
          <w:sz w:val="22"/>
          <w:szCs w:val="22"/>
        </w:rPr>
        <w:t>o/</w:t>
      </w:r>
      <w:r w:rsidRPr="00E15D5C">
        <w:rPr>
          <w:rFonts w:ascii="Arial" w:hAnsi="Arial"/>
          <w:sz w:val="22"/>
          <w:szCs w:val="22"/>
        </w:rPr>
        <w:t xml:space="preserve">a </w:t>
      </w:r>
      <w:proofErr w:type="spellStart"/>
      <w:r w:rsidRPr="00E15D5C">
        <w:rPr>
          <w:rFonts w:ascii="Arial" w:hAnsi="Arial"/>
          <w:sz w:val="22"/>
          <w:szCs w:val="22"/>
        </w:rPr>
        <w:t>a</w:t>
      </w:r>
      <w:proofErr w:type="spellEnd"/>
      <w:r w:rsidRPr="00E15D5C">
        <w:rPr>
          <w:rFonts w:ascii="Arial" w:hAnsi="Arial"/>
          <w:sz w:val="22"/>
          <w:szCs w:val="22"/>
        </w:rPr>
        <w:t xml:space="preserve"> </w:t>
      </w:r>
      <w:r w:rsidRPr="00E15D5C">
        <w:rPr>
          <w:rFonts w:ascii="Arial" w:hAnsi="Arial"/>
          <w:sz w:val="22"/>
          <w:szCs w:val="22"/>
          <w:highlight w:val="yellow"/>
        </w:rPr>
        <w:t>……………..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>il</w:t>
      </w:r>
      <w:r w:rsidRPr="00E15D5C">
        <w:rPr>
          <w:rFonts w:ascii="Arial" w:hAnsi="Arial"/>
          <w:sz w:val="22"/>
          <w:szCs w:val="22"/>
          <w:highlight w:val="yellow"/>
        </w:rPr>
        <w:t>…………………..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 xml:space="preserve">residente in </w:t>
      </w:r>
      <w:r w:rsidRPr="00E15D5C">
        <w:rPr>
          <w:rFonts w:ascii="Arial" w:hAnsi="Arial"/>
          <w:sz w:val="22"/>
          <w:szCs w:val="22"/>
          <w:highlight w:val="yellow"/>
        </w:rPr>
        <w:t>……………………………………..</w:t>
      </w:r>
    </w:p>
    <w:p w:rsidR="00855F4E" w:rsidRPr="00E15D5C" w:rsidRDefault="00855F4E" w:rsidP="00A96870">
      <w:pPr>
        <w:spacing w:line="240" w:lineRule="auto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>C.F</w:t>
      </w:r>
      <w:r w:rsidR="008A7D3A" w:rsidRPr="00E15D5C">
        <w:rPr>
          <w:rFonts w:ascii="Arial" w:hAnsi="Arial"/>
          <w:sz w:val="22"/>
          <w:szCs w:val="22"/>
          <w:highlight w:val="yellow"/>
        </w:rPr>
        <w:t>……………………………..</w:t>
      </w:r>
    </w:p>
    <w:p w:rsidR="00931429" w:rsidRPr="00E15D5C" w:rsidRDefault="001247D2" w:rsidP="00A96870">
      <w:pPr>
        <w:spacing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alla previsione di cui al</w:t>
      </w:r>
      <w:r w:rsidR="00663892">
        <w:rPr>
          <w:rFonts w:ascii="Arial" w:hAnsi="Arial"/>
          <w:sz w:val="22"/>
          <w:szCs w:val="22"/>
        </w:rPr>
        <w:t xml:space="preserve"> </w:t>
      </w:r>
      <w:r w:rsidR="003F1B01" w:rsidRPr="00E15D5C">
        <w:rPr>
          <w:rFonts w:ascii="Arial" w:hAnsi="Arial"/>
          <w:sz w:val="22"/>
          <w:szCs w:val="22"/>
        </w:rPr>
        <w:t xml:space="preserve">D.L. 44/2021 </w:t>
      </w:r>
      <w:r>
        <w:rPr>
          <w:rFonts w:ascii="Arial" w:hAnsi="Arial"/>
          <w:sz w:val="22"/>
          <w:szCs w:val="22"/>
        </w:rPr>
        <w:t>in punto</w:t>
      </w:r>
      <w:r w:rsidR="003F1B01" w:rsidRPr="00E15D5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“</w:t>
      </w:r>
      <w:r w:rsidR="003F1B01" w:rsidRPr="00E15D5C">
        <w:rPr>
          <w:rFonts w:ascii="Arial" w:hAnsi="Arial"/>
          <w:sz w:val="22"/>
          <w:szCs w:val="22"/>
        </w:rPr>
        <w:t>vaccinazione</w:t>
      </w:r>
      <w:r>
        <w:rPr>
          <w:rFonts w:ascii="Arial" w:hAnsi="Arial"/>
          <w:sz w:val="22"/>
          <w:szCs w:val="22"/>
        </w:rPr>
        <w:t>”</w:t>
      </w:r>
      <w:r w:rsidR="003F1B01" w:rsidRPr="00E15D5C">
        <w:rPr>
          <w:rFonts w:ascii="Arial" w:hAnsi="Arial"/>
          <w:sz w:val="22"/>
          <w:szCs w:val="22"/>
        </w:rPr>
        <w:t xml:space="preserve"> per la </w:t>
      </w:r>
      <w:r w:rsidR="003F1B01" w:rsidRPr="00E15D5C">
        <w:rPr>
          <w:rFonts w:ascii="Arial" w:hAnsi="Arial"/>
          <w:b/>
          <w:bCs/>
          <w:sz w:val="22"/>
          <w:szCs w:val="22"/>
        </w:rPr>
        <w:t xml:space="preserve">prevenzione dell’infezione </w:t>
      </w:r>
      <w:r w:rsidR="00163355" w:rsidRPr="00E15D5C">
        <w:rPr>
          <w:rFonts w:ascii="Arial" w:hAnsi="Arial"/>
          <w:b/>
          <w:bCs/>
          <w:sz w:val="22"/>
          <w:szCs w:val="22"/>
        </w:rPr>
        <w:t>dal virus SARS-CoV-2</w:t>
      </w:r>
    </w:p>
    <w:p w:rsidR="00855F4E" w:rsidRPr="00E15D5C" w:rsidRDefault="00A96870" w:rsidP="00A96870">
      <w:pPr>
        <w:spacing w:line="240" w:lineRule="auto"/>
        <w:jc w:val="center"/>
        <w:rPr>
          <w:rFonts w:ascii="Arial" w:hAnsi="Arial"/>
          <w:sz w:val="22"/>
          <w:szCs w:val="22"/>
        </w:rPr>
      </w:pPr>
      <w:r w:rsidRPr="00E15D5C">
        <w:rPr>
          <w:rFonts w:ascii="Arial" w:hAnsi="Arial"/>
          <w:sz w:val="22"/>
          <w:szCs w:val="22"/>
        </w:rPr>
        <w:t xml:space="preserve">PREMESSO </w:t>
      </w:r>
      <w:r w:rsidR="00855F4E" w:rsidRPr="00E15D5C">
        <w:rPr>
          <w:rFonts w:ascii="Arial" w:hAnsi="Arial"/>
          <w:sz w:val="22"/>
          <w:szCs w:val="22"/>
        </w:rPr>
        <w:t>CHE</w:t>
      </w:r>
    </w:p>
    <w:p w:rsidR="00ED31D3" w:rsidRDefault="00ED31D3" w:rsidP="00BF2F69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247D2">
        <w:rPr>
          <w:rFonts w:ascii="Arial" w:hAnsi="Arial" w:cs="Arial"/>
          <w:sz w:val="22"/>
          <w:szCs w:val="22"/>
        </w:rPr>
        <w:t xml:space="preserve">Lo stato dell’asserita “emergenza sanitaria” è finito in Italia </w:t>
      </w:r>
      <w:r w:rsidR="00F42BE7" w:rsidRPr="001247D2">
        <w:rPr>
          <w:rFonts w:ascii="Arial" w:hAnsi="Arial" w:cs="Arial"/>
          <w:sz w:val="22"/>
          <w:szCs w:val="22"/>
        </w:rPr>
        <w:t xml:space="preserve">ufficialmente </w:t>
      </w:r>
      <w:r w:rsidRPr="001247D2">
        <w:rPr>
          <w:rFonts w:ascii="Arial" w:hAnsi="Arial" w:cs="Arial"/>
          <w:sz w:val="22"/>
          <w:szCs w:val="22"/>
        </w:rPr>
        <w:t>con il 31.03.2022</w:t>
      </w:r>
      <w:r>
        <w:rPr>
          <w:rFonts w:ascii="Arial" w:hAnsi="Arial" w:cs="Arial"/>
          <w:sz w:val="22"/>
          <w:szCs w:val="22"/>
        </w:rPr>
        <w:t>. Dunque</w:t>
      </w:r>
      <w:r w:rsidR="00F42B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dal </w:t>
      </w:r>
      <w:r w:rsidR="00B52025">
        <w:rPr>
          <w:rFonts w:ascii="Arial" w:hAnsi="Arial" w:cs="Arial"/>
          <w:sz w:val="22"/>
          <w:szCs w:val="22"/>
        </w:rPr>
        <w:t>01.04.</w:t>
      </w:r>
      <w:r>
        <w:rPr>
          <w:rFonts w:ascii="Arial" w:hAnsi="Arial" w:cs="Arial"/>
          <w:sz w:val="22"/>
          <w:szCs w:val="22"/>
        </w:rPr>
        <w:t xml:space="preserve">2022 in poi non sussiste </w:t>
      </w:r>
      <w:r w:rsidR="00FB218F">
        <w:rPr>
          <w:rFonts w:ascii="Arial" w:hAnsi="Arial" w:cs="Arial"/>
          <w:sz w:val="22"/>
          <w:szCs w:val="22"/>
        </w:rPr>
        <w:t xml:space="preserve">più </w:t>
      </w:r>
      <w:r>
        <w:rPr>
          <w:rFonts w:ascii="Arial" w:hAnsi="Arial" w:cs="Arial"/>
          <w:sz w:val="22"/>
          <w:szCs w:val="22"/>
        </w:rPr>
        <w:t xml:space="preserve">alcuna base, neanche </w:t>
      </w:r>
      <w:r w:rsidR="00FB218F">
        <w:rPr>
          <w:rFonts w:ascii="Arial" w:hAnsi="Arial" w:cs="Arial"/>
          <w:sz w:val="22"/>
          <w:szCs w:val="22"/>
        </w:rPr>
        <w:t xml:space="preserve">prettamente </w:t>
      </w:r>
      <w:proofErr w:type="spellStart"/>
      <w:r>
        <w:rPr>
          <w:rFonts w:ascii="Arial" w:hAnsi="Arial" w:cs="Arial"/>
          <w:sz w:val="22"/>
          <w:szCs w:val="22"/>
        </w:rPr>
        <w:t>ius</w:t>
      </w:r>
      <w:proofErr w:type="spellEnd"/>
      <w:r>
        <w:rPr>
          <w:rFonts w:ascii="Arial" w:hAnsi="Arial" w:cs="Arial"/>
          <w:sz w:val="22"/>
          <w:szCs w:val="22"/>
        </w:rPr>
        <w:t xml:space="preserve">-formalistica, sulla quale si possano basare misure restrittive dei Diritti Fondamentali e rispettive coercizioni. Il D.L. 44/2021 già prima era </w:t>
      </w:r>
      <w:r w:rsidR="00F42BE7" w:rsidRPr="002F278F">
        <w:rPr>
          <w:rFonts w:ascii="Arial" w:hAnsi="Arial" w:cs="Arial"/>
          <w:i/>
          <w:iCs/>
          <w:sz w:val="22"/>
          <w:szCs w:val="22"/>
        </w:rPr>
        <w:t>tout court</w:t>
      </w:r>
      <w:r w:rsidR="00F42BE7">
        <w:rPr>
          <w:rFonts w:ascii="Arial" w:hAnsi="Arial" w:cs="Arial"/>
          <w:sz w:val="22"/>
          <w:szCs w:val="22"/>
        </w:rPr>
        <w:t xml:space="preserve"> anti-costituzionale, perché nella Costituzione della Repubblica Italiana non è previsto lo stato di emergenza (Tribunale di Pisa, sentenza 17 marzo 2021, n. 419).</w:t>
      </w:r>
    </w:p>
    <w:p w:rsidR="002F278F" w:rsidRDefault="002F278F" w:rsidP="002F278F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55F4E" w:rsidRPr="00E15D5C" w:rsidRDefault="00FB218F" w:rsidP="00BF2F69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55F4E" w:rsidRPr="00E15D5C">
        <w:rPr>
          <w:rFonts w:ascii="Arial" w:hAnsi="Arial" w:cs="Arial"/>
          <w:sz w:val="22"/>
          <w:szCs w:val="22"/>
        </w:rPr>
        <w:t xml:space="preserve">e Decisioni di autorizzazione condizionata di immissione sul mercato delle </w:t>
      </w:r>
      <w:r w:rsidR="00BC2276" w:rsidRPr="00E15D5C">
        <w:rPr>
          <w:rFonts w:ascii="Arial" w:hAnsi="Arial" w:cs="Arial"/>
          <w:sz w:val="22"/>
          <w:szCs w:val="22"/>
        </w:rPr>
        <w:t>cinque</w:t>
      </w:r>
      <w:r w:rsidR="00855F4E" w:rsidRPr="00E15D5C">
        <w:rPr>
          <w:rFonts w:ascii="Arial" w:hAnsi="Arial" w:cs="Arial"/>
          <w:sz w:val="22"/>
          <w:szCs w:val="22"/>
        </w:rPr>
        <w:t xml:space="preserve"> sostanze cosid</w:t>
      </w:r>
      <w:r w:rsidR="00D04AD5" w:rsidRPr="00E15D5C">
        <w:rPr>
          <w:rFonts w:ascii="Arial" w:hAnsi="Arial" w:cs="Arial"/>
          <w:sz w:val="22"/>
          <w:szCs w:val="22"/>
        </w:rPr>
        <w:t>d</w:t>
      </w:r>
      <w:r w:rsidR="00855F4E" w:rsidRPr="00E15D5C">
        <w:rPr>
          <w:rFonts w:ascii="Arial" w:hAnsi="Arial" w:cs="Arial"/>
          <w:sz w:val="22"/>
          <w:szCs w:val="22"/>
        </w:rPr>
        <w:t>etti “vaccini”-Covid-19 (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Comirnaty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Pfizer/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BioNTech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Spikevax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Moderna, 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Vaxzevria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AstraZeneca</w:t>
      </w:r>
      <w:r w:rsidR="00BC2276" w:rsidRPr="00E15D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5F4E" w:rsidRPr="00E15D5C">
        <w:rPr>
          <w:rFonts w:ascii="Arial" w:hAnsi="Arial" w:cs="Arial"/>
          <w:sz w:val="22"/>
          <w:szCs w:val="22"/>
        </w:rPr>
        <w:t>Janssen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 xml:space="preserve"> di Johnson &amp; Johnson</w:t>
      </w:r>
      <w:r w:rsidR="00BC2276" w:rsidRPr="00E15D5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BC2276" w:rsidRPr="00E15D5C">
        <w:rPr>
          <w:rFonts w:ascii="Arial" w:hAnsi="Arial" w:cs="Arial"/>
          <w:sz w:val="22"/>
          <w:szCs w:val="22"/>
        </w:rPr>
        <w:t>Novaxovid</w:t>
      </w:r>
      <w:proofErr w:type="spellEnd"/>
      <w:r w:rsidR="00BC2276" w:rsidRPr="00E15D5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BC2276" w:rsidRPr="00E15D5C">
        <w:rPr>
          <w:rFonts w:ascii="Arial" w:hAnsi="Arial" w:cs="Arial"/>
          <w:sz w:val="22"/>
          <w:szCs w:val="22"/>
        </w:rPr>
        <w:t>Novavax</w:t>
      </w:r>
      <w:proofErr w:type="spellEnd"/>
      <w:r w:rsidR="00855F4E" w:rsidRPr="00E15D5C">
        <w:rPr>
          <w:rFonts w:ascii="Arial" w:hAnsi="Arial" w:cs="Arial"/>
          <w:sz w:val="22"/>
          <w:szCs w:val="22"/>
        </w:rPr>
        <w:t>)</w:t>
      </w:r>
      <w:r w:rsidR="008E1A66" w:rsidRPr="00E15D5C">
        <w:rPr>
          <w:rFonts w:ascii="Arial" w:hAnsi="Arial" w:cs="Arial"/>
          <w:sz w:val="22"/>
          <w:szCs w:val="22"/>
        </w:rPr>
        <w:t xml:space="preserve">, </w:t>
      </w:r>
      <w:r w:rsidR="00407FEC" w:rsidRPr="00E15D5C">
        <w:rPr>
          <w:rFonts w:ascii="Arial" w:hAnsi="Arial" w:cs="Arial"/>
          <w:sz w:val="22"/>
          <w:szCs w:val="22"/>
        </w:rPr>
        <w:t>attualmente utilizzati in Italia</w:t>
      </w:r>
      <w:r w:rsidR="008E1A66" w:rsidRPr="00E15D5C">
        <w:rPr>
          <w:rFonts w:ascii="Arial" w:hAnsi="Arial" w:cs="Arial"/>
          <w:sz w:val="22"/>
          <w:szCs w:val="22"/>
        </w:rPr>
        <w:t xml:space="preserve">, </w:t>
      </w:r>
      <w:r w:rsidR="00855F4E" w:rsidRPr="00E15D5C">
        <w:rPr>
          <w:rFonts w:ascii="Arial" w:hAnsi="Arial" w:cs="Arial"/>
          <w:sz w:val="22"/>
          <w:szCs w:val="22"/>
        </w:rPr>
        <w:t>prevedono ne</w:t>
      </w:r>
      <w:r w:rsidR="009A0297" w:rsidRPr="00E15D5C">
        <w:rPr>
          <w:rFonts w:ascii="Arial" w:hAnsi="Arial" w:cs="Arial"/>
          <w:sz w:val="22"/>
          <w:szCs w:val="22"/>
        </w:rPr>
        <w:t>ll’</w:t>
      </w:r>
      <w:r w:rsidR="00855F4E" w:rsidRPr="00E15D5C">
        <w:rPr>
          <w:rFonts w:ascii="Arial" w:hAnsi="Arial" w:cs="Arial"/>
          <w:b/>
          <w:bCs/>
          <w:sz w:val="22"/>
          <w:szCs w:val="22"/>
        </w:rPr>
        <w:t>Allegat</w:t>
      </w:r>
      <w:r w:rsidR="009A0297" w:rsidRPr="00E15D5C">
        <w:rPr>
          <w:rFonts w:ascii="Arial" w:hAnsi="Arial" w:cs="Arial"/>
          <w:b/>
          <w:bCs/>
          <w:sz w:val="22"/>
          <w:szCs w:val="22"/>
        </w:rPr>
        <w:t>o II</w:t>
      </w:r>
      <w:r w:rsidR="00855F4E" w:rsidRPr="00E15D5C">
        <w:rPr>
          <w:rFonts w:ascii="Arial" w:hAnsi="Arial" w:cs="Arial"/>
          <w:b/>
          <w:bCs/>
          <w:sz w:val="22"/>
          <w:szCs w:val="22"/>
        </w:rPr>
        <w:t xml:space="preserve"> </w:t>
      </w:r>
      <w:r w:rsidR="009A0297" w:rsidRPr="00E15D5C">
        <w:rPr>
          <w:rFonts w:ascii="Arial" w:hAnsi="Arial" w:cs="Arial"/>
          <w:b/>
          <w:bCs/>
          <w:sz w:val="22"/>
          <w:szCs w:val="22"/>
        </w:rPr>
        <w:t xml:space="preserve">Punto B. CONDIZIONI O LIMITAZIONI DI FORNITURA E UTILIZZO </w:t>
      </w:r>
      <w:r w:rsidR="000230C9" w:rsidRPr="00E15D5C">
        <w:rPr>
          <w:rFonts w:ascii="Arial" w:hAnsi="Arial" w:cs="Arial"/>
          <w:sz w:val="22"/>
          <w:szCs w:val="22"/>
        </w:rPr>
        <w:t>espressamente</w:t>
      </w:r>
      <w:r w:rsidR="000230C9" w:rsidRPr="00E15D5C">
        <w:rPr>
          <w:rFonts w:ascii="Arial" w:hAnsi="Arial" w:cs="Arial"/>
          <w:b/>
          <w:bCs/>
          <w:sz w:val="22"/>
          <w:szCs w:val="22"/>
        </w:rPr>
        <w:t xml:space="preserve"> </w:t>
      </w:r>
      <w:r w:rsidR="009A0297" w:rsidRPr="00E15D5C">
        <w:rPr>
          <w:rFonts w:ascii="Arial" w:hAnsi="Arial" w:cs="Arial"/>
          <w:sz w:val="22"/>
          <w:szCs w:val="22"/>
        </w:rPr>
        <w:t>che queste sostanze sono un</w:t>
      </w:r>
    </w:p>
    <w:p w:rsidR="009A0297" w:rsidRDefault="009A0297" w:rsidP="008E1A66">
      <w:pPr>
        <w:spacing w:line="240" w:lineRule="auto"/>
        <w:jc w:val="center"/>
        <w:rPr>
          <w:rFonts w:ascii="Arial" w:hAnsi="Arial"/>
          <w:b/>
          <w:bCs/>
          <w:i/>
          <w:iCs/>
          <w:u w:val="single"/>
        </w:rPr>
      </w:pPr>
      <w:r w:rsidRPr="00713AB6">
        <w:rPr>
          <w:rFonts w:ascii="Arial" w:hAnsi="Arial"/>
          <w:b/>
          <w:bCs/>
          <w:i/>
          <w:iCs/>
          <w:u w:val="single"/>
        </w:rPr>
        <w:t>Medicinale soggetto a prescrizione medica</w:t>
      </w:r>
      <w:r w:rsidR="00713AB6">
        <w:rPr>
          <w:rFonts w:ascii="Arial" w:hAnsi="Arial"/>
          <w:b/>
          <w:bCs/>
          <w:i/>
          <w:iCs/>
          <w:u w:val="single"/>
        </w:rPr>
        <w:t>.</w:t>
      </w:r>
    </w:p>
    <w:p w:rsidR="00713AB6" w:rsidRPr="00713AB6" w:rsidRDefault="00713AB6" w:rsidP="00713AB6">
      <w:pPr>
        <w:spacing w:line="240" w:lineRule="auto"/>
        <w:ind w:left="426"/>
        <w:jc w:val="both"/>
        <w:rPr>
          <w:rFonts w:ascii="Arial" w:hAnsi="Arial"/>
          <w:sz w:val="22"/>
          <w:szCs w:val="22"/>
        </w:rPr>
      </w:pPr>
      <w:r w:rsidRPr="00713AB6">
        <w:rPr>
          <w:rFonts w:ascii="Arial" w:hAnsi="Arial"/>
          <w:sz w:val="22"/>
          <w:szCs w:val="22"/>
        </w:rPr>
        <w:t>Vedi:</w:t>
      </w:r>
    </w:p>
    <w:p w:rsidR="00AD3B59" w:rsidRPr="00AD3B59" w:rsidRDefault="00AD3B59" w:rsidP="008E1A66">
      <w:pPr>
        <w:numPr>
          <w:ilvl w:val="0"/>
          <w:numId w:val="5"/>
        </w:numPr>
        <w:suppressAutoHyphens w:val="0"/>
        <w:autoSpaceDE/>
        <w:autoSpaceDN/>
        <w:adjustRightInd/>
        <w:spacing w:line="240" w:lineRule="auto"/>
        <w:ind w:left="1134"/>
        <w:contextualSpacing/>
        <w:rPr>
          <w:rFonts w:ascii="Arial" w:hAnsi="Arial"/>
          <w:sz w:val="22"/>
          <w:szCs w:val="22"/>
        </w:rPr>
      </w:pPr>
      <w:r w:rsidRPr="00AD3B59">
        <w:rPr>
          <w:rFonts w:ascii="Arial" w:hAnsi="Arial"/>
          <w:sz w:val="22"/>
          <w:szCs w:val="22"/>
        </w:rPr>
        <w:t xml:space="preserve">per </w:t>
      </w:r>
      <w:proofErr w:type="spellStart"/>
      <w:r w:rsidRPr="00AD3B59">
        <w:rPr>
          <w:rFonts w:ascii="Arial" w:hAnsi="Arial"/>
          <w:sz w:val="22"/>
          <w:szCs w:val="22"/>
        </w:rPr>
        <w:t>Comirnaty</w:t>
      </w:r>
      <w:proofErr w:type="spellEnd"/>
      <w:r w:rsidRPr="00AD3B59">
        <w:rPr>
          <w:rFonts w:ascii="Arial" w:hAnsi="Arial"/>
          <w:sz w:val="22"/>
          <w:szCs w:val="22"/>
        </w:rPr>
        <w:t xml:space="preserve"> di Pfizer/</w:t>
      </w:r>
      <w:proofErr w:type="spellStart"/>
      <w:r w:rsidRPr="00AD3B59">
        <w:rPr>
          <w:rFonts w:ascii="Arial" w:hAnsi="Arial"/>
          <w:sz w:val="22"/>
          <w:szCs w:val="22"/>
        </w:rPr>
        <w:t>BioNtech</w:t>
      </w:r>
      <w:proofErr w:type="spellEnd"/>
      <w:r w:rsidRPr="00AD3B59">
        <w:rPr>
          <w:rFonts w:ascii="Arial" w:hAnsi="Arial"/>
          <w:sz w:val="22"/>
          <w:szCs w:val="22"/>
        </w:rPr>
        <w:t>:</w:t>
      </w:r>
    </w:p>
    <w:p w:rsidR="00AD3B59" w:rsidRDefault="00ED0BC4" w:rsidP="008E1A66">
      <w:pPr>
        <w:spacing w:line="240" w:lineRule="auto"/>
        <w:ind w:left="1134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12" w:history="1">
        <w:r w:rsidR="00AD3B59" w:rsidRPr="00AD3B59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https://ec.europa.eu/health/documents/community-register/2021/20211126154181/anx_154181_it.pdf</w:t>
        </w:r>
      </w:hyperlink>
    </w:p>
    <w:p w:rsidR="00AD3B59" w:rsidRPr="00AD3B59" w:rsidRDefault="00AD3B59" w:rsidP="008E1A66">
      <w:pPr>
        <w:numPr>
          <w:ilvl w:val="0"/>
          <w:numId w:val="6"/>
        </w:numPr>
        <w:suppressAutoHyphens w:val="0"/>
        <w:autoSpaceDE/>
        <w:autoSpaceDN/>
        <w:adjustRightInd/>
        <w:spacing w:line="240" w:lineRule="auto"/>
        <w:ind w:left="1134"/>
        <w:contextualSpacing/>
        <w:rPr>
          <w:rFonts w:ascii="Arial" w:hAnsi="Arial"/>
          <w:sz w:val="22"/>
          <w:szCs w:val="22"/>
        </w:rPr>
      </w:pPr>
      <w:r w:rsidRPr="00AD3B59">
        <w:rPr>
          <w:rFonts w:ascii="Arial" w:hAnsi="Arial"/>
          <w:sz w:val="22"/>
          <w:szCs w:val="22"/>
        </w:rPr>
        <w:t xml:space="preserve">per </w:t>
      </w:r>
      <w:proofErr w:type="spellStart"/>
      <w:r w:rsidRPr="00AD3B59">
        <w:rPr>
          <w:rFonts w:ascii="Arial" w:hAnsi="Arial"/>
          <w:sz w:val="22"/>
          <w:szCs w:val="22"/>
        </w:rPr>
        <w:t>Spikevax</w:t>
      </w:r>
      <w:proofErr w:type="spellEnd"/>
      <w:r w:rsidRPr="00AD3B59">
        <w:rPr>
          <w:rFonts w:ascii="Arial" w:hAnsi="Arial"/>
          <w:sz w:val="22"/>
          <w:szCs w:val="22"/>
        </w:rPr>
        <w:t xml:space="preserve"> di Moderna:</w:t>
      </w:r>
    </w:p>
    <w:p w:rsidR="00AD3B59" w:rsidRPr="00AD3B59" w:rsidRDefault="00ED0BC4" w:rsidP="008E1A66">
      <w:pPr>
        <w:spacing w:line="240" w:lineRule="auto"/>
        <w:ind w:left="1134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13" w:history="1">
        <w:r w:rsidR="00AD3B59" w:rsidRPr="00AD3B59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https://ec.europa.eu/health/documents/community-register/2021/20211208154383/anx_154383_it.pdf</w:t>
        </w:r>
      </w:hyperlink>
    </w:p>
    <w:p w:rsidR="00AD3B59" w:rsidRPr="00AD3B59" w:rsidRDefault="00AD3B59" w:rsidP="008E1A66">
      <w:pPr>
        <w:numPr>
          <w:ilvl w:val="0"/>
          <w:numId w:val="7"/>
        </w:numPr>
        <w:suppressAutoHyphens w:val="0"/>
        <w:autoSpaceDE/>
        <w:autoSpaceDN/>
        <w:adjustRightInd/>
        <w:spacing w:line="240" w:lineRule="auto"/>
        <w:ind w:left="1134"/>
        <w:contextualSpacing/>
        <w:rPr>
          <w:rFonts w:ascii="Arial" w:hAnsi="Arial"/>
          <w:sz w:val="22"/>
          <w:szCs w:val="22"/>
        </w:rPr>
      </w:pPr>
      <w:r w:rsidRPr="00AD3B59">
        <w:rPr>
          <w:rFonts w:ascii="Arial" w:hAnsi="Arial"/>
          <w:sz w:val="22"/>
          <w:szCs w:val="22"/>
        </w:rPr>
        <w:t xml:space="preserve">per </w:t>
      </w:r>
      <w:proofErr w:type="spellStart"/>
      <w:r w:rsidRPr="00AD3B59">
        <w:rPr>
          <w:rFonts w:ascii="Arial" w:hAnsi="Arial"/>
          <w:sz w:val="22"/>
          <w:szCs w:val="22"/>
        </w:rPr>
        <w:t>Vaxzevria</w:t>
      </w:r>
      <w:proofErr w:type="spellEnd"/>
      <w:r w:rsidRPr="00AD3B59">
        <w:rPr>
          <w:rFonts w:ascii="Arial" w:hAnsi="Arial"/>
          <w:sz w:val="22"/>
          <w:szCs w:val="22"/>
        </w:rPr>
        <w:t xml:space="preserve"> di AstraZeneca:</w:t>
      </w:r>
    </w:p>
    <w:p w:rsidR="00AD3B59" w:rsidRPr="00AD3B59" w:rsidRDefault="00ED0BC4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4" w:history="1">
        <w:r w:rsidR="00AD3B59" w:rsidRPr="00AD3B59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https://ec.europa.eu/health/documents/community-register/2021/20211123154128/anx_154128_it.pdf</w:t>
        </w:r>
      </w:hyperlink>
    </w:p>
    <w:p w:rsidR="00AD3B59" w:rsidRPr="00AD3B59" w:rsidRDefault="00AD3B59" w:rsidP="008E1A66">
      <w:pPr>
        <w:numPr>
          <w:ilvl w:val="0"/>
          <w:numId w:val="8"/>
        </w:num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r w:rsidRPr="00AD3B59"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  <w:t>per Janssen di Johnson &amp; Johnson:</w:t>
      </w:r>
    </w:p>
    <w:p w:rsidR="00AD3B59" w:rsidRPr="00AD3B59" w:rsidRDefault="00ED0BC4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hyperlink r:id="rId15" w:history="1">
        <w:r w:rsidR="00AD3B59" w:rsidRPr="00AD3B59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val="en-US" w:eastAsia="en-US" w:bidi="ar-SA"/>
          </w:rPr>
          <w:t>https://ec.europa.eu/health/documents/community-register/2021/20211216154458/anx_154458_it.pdf</w:t>
        </w:r>
      </w:hyperlink>
    </w:p>
    <w:p w:rsidR="00AD3B59" w:rsidRDefault="00AD3B59" w:rsidP="008E1A66">
      <w:pPr>
        <w:numPr>
          <w:ilvl w:val="0"/>
          <w:numId w:val="9"/>
        </w:num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per </w:t>
      </w:r>
      <w:proofErr w:type="spellStart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>Nuvaxovid</w:t>
      </w:r>
      <w:proofErr w:type="spellEnd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di </w:t>
      </w:r>
      <w:proofErr w:type="spellStart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>Novavax</w:t>
      </w:r>
      <w:proofErr w:type="spellEnd"/>
      <w:r w:rsidRPr="00AD3B59">
        <w:rPr>
          <w:rFonts w:ascii="Arial" w:eastAsia="Times New Roman" w:hAnsi="Arial"/>
          <w:kern w:val="0"/>
          <w:sz w:val="22"/>
          <w:szCs w:val="22"/>
          <w:lang w:eastAsia="en-US" w:bidi="ar-SA"/>
        </w:rPr>
        <w:t>:</w:t>
      </w:r>
    </w:p>
    <w:p w:rsidR="00FB218F" w:rsidRDefault="00ED0BC4" w:rsidP="00FB218F">
      <w:p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6" w:history="1">
        <w:r w:rsidR="002F278F" w:rsidRPr="002F126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US" w:bidi="ar-SA"/>
          </w:rPr>
          <w:t>https://ec.europa.eu/health/documents/community-register/2022/20220112154605/anx_154605_it.pdf</w:t>
        </w:r>
      </w:hyperlink>
    </w:p>
    <w:p w:rsidR="002F278F" w:rsidRDefault="002F278F" w:rsidP="00FB218F">
      <w:pPr>
        <w:suppressAutoHyphens w:val="0"/>
        <w:autoSpaceDE/>
        <w:autoSpaceDN/>
        <w:adjustRightInd/>
        <w:spacing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</w:p>
    <w:p w:rsidR="00061906" w:rsidRPr="00E15D5C" w:rsidRDefault="00061906" w:rsidP="005E7F37">
      <w:pPr>
        <w:pStyle w:val="Listenabsatz"/>
        <w:numPr>
          <w:ilvl w:val="0"/>
          <w:numId w:val="4"/>
        </w:numPr>
        <w:spacing w:line="24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I cosiddetti “vaccini”-COVID-19</w:t>
      </w:r>
      <w:r w:rsidR="008E1A66" w:rsidRPr="00E15D5C">
        <w:rPr>
          <w:rFonts w:ascii="Arial" w:hAnsi="Arial" w:cs="Arial"/>
          <w:sz w:val="22"/>
          <w:szCs w:val="22"/>
        </w:rPr>
        <w:t>,</w:t>
      </w:r>
      <w:r w:rsidRPr="00E15D5C">
        <w:rPr>
          <w:rFonts w:ascii="Arial" w:hAnsi="Arial" w:cs="Arial"/>
          <w:sz w:val="22"/>
          <w:szCs w:val="22"/>
        </w:rPr>
        <w:t xml:space="preserve"> </w:t>
      </w:r>
      <w:r w:rsidR="00500484">
        <w:rPr>
          <w:rFonts w:ascii="Arial" w:hAnsi="Arial" w:cs="Arial"/>
          <w:sz w:val="22"/>
          <w:szCs w:val="22"/>
        </w:rPr>
        <w:t>utilizzati</w:t>
      </w:r>
      <w:r w:rsidRPr="00E15D5C">
        <w:rPr>
          <w:rFonts w:ascii="Arial" w:hAnsi="Arial" w:cs="Arial"/>
          <w:sz w:val="22"/>
          <w:szCs w:val="22"/>
        </w:rPr>
        <w:t xml:space="preserve"> in Italia</w:t>
      </w:r>
      <w:r w:rsidR="008E1A66" w:rsidRPr="00E15D5C">
        <w:rPr>
          <w:rFonts w:ascii="Arial" w:hAnsi="Arial" w:cs="Arial"/>
          <w:sz w:val="22"/>
          <w:szCs w:val="22"/>
        </w:rPr>
        <w:t>,</w:t>
      </w:r>
      <w:r w:rsidRPr="00E15D5C">
        <w:rPr>
          <w:rFonts w:ascii="Arial" w:hAnsi="Arial" w:cs="Arial"/>
          <w:sz w:val="22"/>
          <w:szCs w:val="22"/>
        </w:rPr>
        <w:t xml:space="preserve"> sono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sostanze autorizzate </w:t>
      </w:r>
      <w:r w:rsidR="008E1A66" w:rsidRPr="00E15D5C">
        <w:rPr>
          <w:rFonts w:ascii="Arial" w:hAnsi="Arial" w:cs="Arial"/>
          <w:b/>
          <w:bCs/>
          <w:sz w:val="22"/>
          <w:szCs w:val="22"/>
        </w:rPr>
        <w:t xml:space="preserve">dalla Commissione Europea </w:t>
      </w:r>
      <w:r w:rsidRPr="00E15D5C">
        <w:rPr>
          <w:rFonts w:ascii="Arial" w:hAnsi="Arial" w:cs="Arial"/>
          <w:b/>
          <w:bCs/>
          <w:sz w:val="22"/>
          <w:szCs w:val="22"/>
        </w:rPr>
        <w:t>ai sensi del Regolamento (CE) n. 507/2006, in via condizionata e centralizzata con effetto per tutta l’Unione Europea, con rispettiva Decisione di Esecuzione.</w:t>
      </w:r>
    </w:p>
    <w:p w:rsidR="00061906" w:rsidRPr="00061906" w:rsidRDefault="00061906" w:rsidP="005E7F37">
      <w:pPr>
        <w:spacing w:line="240" w:lineRule="auto"/>
        <w:ind w:left="567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>Vedi:</w:t>
      </w:r>
    </w:p>
    <w:p w:rsidR="00061906" w:rsidRPr="00061906" w:rsidRDefault="00061906" w:rsidP="008E1A66">
      <w:pPr>
        <w:numPr>
          <w:ilvl w:val="0"/>
          <w:numId w:val="10"/>
        </w:numPr>
        <w:suppressAutoHyphens w:val="0"/>
        <w:autoSpaceDE/>
        <w:autoSpaceDN/>
        <w:adjustRightInd/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Comirnaty</w:t>
      </w:r>
      <w:proofErr w:type="spellEnd"/>
      <w:r w:rsidRPr="00061906">
        <w:rPr>
          <w:rFonts w:ascii="Arial" w:hAnsi="Arial"/>
          <w:sz w:val="22"/>
          <w:szCs w:val="22"/>
        </w:rPr>
        <w:t xml:space="preserve"> di Pfizer/</w:t>
      </w:r>
      <w:proofErr w:type="spellStart"/>
      <w:r w:rsidRPr="00061906">
        <w:rPr>
          <w:rFonts w:ascii="Arial" w:hAnsi="Arial"/>
          <w:sz w:val="22"/>
          <w:szCs w:val="22"/>
        </w:rPr>
        <w:t>BioNTech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061906" w:rsidRPr="00061906" w:rsidRDefault="00ED0BC4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7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https://ec.europa.eu/health/documents/community-register/html/h1528.htm</w:t>
        </w:r>
      </w:hyperlink>
    </w:p>
    <w:p w:rsidR="00061906" w:rsidRPr="00061906" w:rsidRDefault="00061906" w:rsidP="008E1A66">
      <w:pPr>
        <w:numPr>
          <w:ilvl w:val="0"/>
          <w:numId w:val="11"/>
        </w:numPr>
        <w:suppressAutoHyphens w:val="0"/>
        <w:autoSpaceDE/>
        <w:autoSpaceDN/>
        <w:adjustRightInd/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Spikevax</w:t>
      </w:r>
      <w:proofErr w:type="spellEnd"/>
      <w:r w:rsidRPr="00061906">
        <w:rPr>
          <w:rFonts w:ascii="Arial" w:hAnsi="Arial"/>
          <w:sz w:val="22"/>
          <w:szCs w:val="22"/>
        </w:rPr>
        <w:t xml:space="preserve"> di Moderna:</w:t>
      </w:r>
    </w:p>
    <w:p w:rsidR="00061906" w:rsidRPr="00061906" w:rsidRDefault="00ED0BC4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8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https://ec.europa.eu/health/documents/community-register/2021/20210106150575/dec_150575_it.pdf</w:t>
        </w:r>
      </w:hyperlink>
    </w:p>
    <w:p w:rsidR="00061906" w:rsidRPr="00061906" w:rsidRDefault="00061906" w:rsidP="008E1A66">
      <w:pPr>
        <w:numPr>
          <w:ilvl w:val="0"/>
          <w:numId w:val="12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per </w:t>
      </w:r>
      <w:proofErr w:type="spellStart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Vaxzevria</w:t>
      </w:r>
      <w:proofErr w:type="spellEnd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di AstraZeneca:</w:t>
      </w:r>
    </w:p>
    <w:p w:rsidR="00061906" w:rsidRPr="00061906" w:rsidRDefault="00ED0BC4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hyperlink r:id="rId19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eastAsia="en-US" w:bidi="ar-SA"/>
          </w:rPr>
          <w:t>https://ec.europa.eu/health/documents/community-register/2021/20210129150842/dec_150842_it.pdf</w:t>
        </w:r>
      </w:hyperlink>
    </w:p>
    <w:p w:rsidR="00061906" w:rsidRPr="00061906" w:rsidRDefault="00061906" w:rsidP="008E1A66">
      <w:pPr>
        <w:numPr>
          <w:ilvl w:val="0"/>
          <w:numId w:val="13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  <w:t>per Janssen di Johnson &amp; Johnson:</w:t>
      </w:r>
    </w:p>
    <w:p w:rsidR="00061906" w:rsidRPr="00061906" w:rsidRDefault="00ED0BC4" w:rsidP="008E1A66">
      <w:pPr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val="en-US" w:eastAsia="en-US" w:bidi="ar-SA"/>
        </w:rPr>
      </w:pPr>
      <w:hyperlink r:id="rId20" w:history="1">
        <w:r w:rsidR="00061906" w:rsidRPr="00061906">
          <w:rPr>
            <w:rFonts w:ascii="Arial" w:eastAsia="Times New Roman" w:hAnsi="Arial"/>
            <w:color w:val="0563C1" w:themeColor="hyperlink"/>
            <w:kern w:val="0"/>
            <w:sz w:val="22"/>
            <w:szCs w:val="22"/>
            <w:u w:val="single"/>
            <w:lang w:val="en-US" w:eastAsia="en-US" w:bidi="ar-SA"/>
          </w:rPr>
          <w:t>https://ec.europa.eu/health/documents/community-register/2021/20210311151284/dec_151284_it.pdf</w:t>
        </w:r>
      </w:hyperlink>
    </w:p>
    <w:p w:rsidR="00061906" w:rsidRDefault="00061906" w:rsidP="008E1A66">
      <w:pPr>
        <w:numPr>
          <w:ilvl w:val="0"/>
          <w:numId w:val="14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per </w:t>
      </w:r>
      <w:proofErr w:type="spellStart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Nuvaxovid</w:t>
      </w:r>
      <w:proofErr w:type="spellEnd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di </w:t>
      </w:r>
      <w:proofErr w:type="spellStart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Novavax</w:t>
      </w:r>
      <w:proofErr w:type="spellEnd"/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:</w:t>
      </w:r>
    </w:p>
    <w:p w:rsidR="00FB218F" w:rsidRDefault="00ED0BC4" w:rsidP="00FB218F">
      <w:pPr>
        <w:pStyle w:val="Listenabsatz"/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hyperlink r:id="rId21" w:history="1">
        <w:r w:rsidR="00FB218F" w:rsidRPr="002F1269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US" w:bidi="ar-SA"/>
          </w:rPr>
          <w:t>https://ec.europa.eu/health/documents/community-register/2021/20211220154520/dec_154520_it.pdf</w:t>
        </w:r>
      </w:hyperlink>
    </w:p>
    <w:p w:rsidR="001B262B" w:rsidRPr="00FB218F" w:rsidRDefault="001B262B" w:rsidP="00FB218F">
      <w:pPr>
        <w:pStyle w:val="Listenabsatz"/>
        <w:suppressAutoHyphens w:val="0"/>
        <w:autoSpaceDE/>
        <w:autoSpaceDN/>
        <w:adjustRightInd/>
        <w:spacing w:line="259" w:lineRule="auto"/>
        <w:ind w:left="1134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</w:p>
    <w:p w:rsidR="00061906" w:rsidRPr="00E15D5C" w:rsidRDefault="00061906" w:rsidP="005E7F37">
      <w:pPr>
        <w:pStyle w:val="Listenabsatz"/>
        <w:numPr>
          <w:ilvl w:val="0"/>
          <w:numId w:val="4"/>
        </w:numPr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E15D5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lastRenderedPageBreak/>
        <w:t xml:space="preserve">Ai sensi 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dell’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en-US" w:bidi="ar-SA"/>
        </w:rPr>
        <w:t>art. 2 della rispettiva Decisione di Esecuzione della Commissione Europea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713AB6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(vedi sopra),</w:t>
      </w:r>
      <w:r w:rsidRPr="00E15D5C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 xml:space="preserve"> con la quale questa ha concesso l’autorizzazione solo in via condizionata rispettivamente per un anno (prorogabile di un altro anno) della rispettiva sostanza</w:t>
      </w:r>
      <w:r w:rsidRPr="00E15D5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,</w:t>
      </w:r>
    </w:p>
    <w:p w:rsidR="00061906" w:rsidRPr="00061906" w:rsidRDefault="00061906" w:rsidP="003C2F90">
      <w:pPr>
        <w:suppressAutoHyphens w:val="0"/>
        <w:autoSpaceDE/>
        <w:autoSpaceDN/>
        <w:adjustRightInd/>
        <w:spacing w:line="259" w:lineRule="auto"/>
        <w:ind w:left="709"/>
        <w:jc w:val="both"/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</w:pPr>
      <w:r w:rsidRPr="00061906"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  <w:t>“L’</w:t>
      </w:r>
      <w:r w:rsidRPr="00061906">
        <w:rPr>
          <w:rFonts w:ascii="Arial" w:eastAsia="Times New Roman" w:hAnsi="Arial"/>
          <w:b/>
          <w:bCs/>
          <w:i/>
          <w:iCs/>
          <w:kern w:val="0"/>
          <w:u w:val="single"/>
          <w:lang w:eastAsia="en-US" w:bidi="ar-SA"/>
        </w:rPr>
        <w:t>autorizzazione</w:t>
      </w:r>
      <w:r w:rsidRPr="00061906"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  <w:t xml:space="preserve"> all’immissione in commercio del medicinale di cui all’articolo 1 è </w:t>
      </w:r>
      <w:r w:rsidRPr="00061906">
        <w:rPr>
          <w:rFonts w:ascii="Arial" w:eastAsia="Times New Roman" w:hAnsi="Arial"/>
          <w:b/>
          <w:bCs/>
          <w:i/>
          <w:iCs/>
          <w:kern w:val="0"/>
          <w:u w:val="single"/>
          <w:lang w:eastAsia="en-US" w:bidi="ar-SA"/>
        </w:rPr>
        <w:t>subordinata al rispetto delle prescrizioni e delle specifiche stabilite nell’allegato II</w:t>
      </w:r>
      <w:r w:rsidRPr="00061906">
        <w:rPr>
          <w:rFonts w:ascii="Arial" w:eastAsia="Times New Roman" w:hAnsi="Arial"/>
          <w:b/>
          <w:bCs/>
          <w:i/>
          <w:iCs/>
          <w:kern w:val="0"/>
          <w:lang w:eastAsia="en-US" w:bidi="ar-SA"/>
        </w:rPr>
        <w:t>.”</w:t>
      </w:r>
    </w:p>
    <w:p w:rsidR="00061906" w:rsidRPr="00061906" w:rsidRDefault="00061906" w:rsidP="003C2F90">
      <w:pPr>
        <w:suppressAutoHyphens w:val="0"/>
        <w:autoSpaceDE/>
        <w:autoSpaceDN/>
        <w:adjustRightInd/>
        <w:spacing w:line="259" w:lineRule="auto"/>
        <w:ind w:left="709"/>
        <w:jc w:val="both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Ciò significa, che </w:t>
      </w:r>
      <w:r w:rsidRPr="00061906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senza il rigoroso rispetto della necessità di una prescrizione medica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, prevista dalla Commissione Europea quale </w:t>
      </w:r>
      <w:r w:rsidRPr="00061906">
        <w:rPr>
          <w:rFonts w:ascii="Arial" w:eastAsia="Times New Roman" w:hAnsi="Arial"/>
          <w:i/>
          <w:iCs/>
          <w:kern w:val="0"/>
          <w:sz w:val="22"/>
          <w:szCs w:val="22"/>
          <w:lang w:eastAsia="en-US" w:bidi="ar-SA"/>
        </w:rPr>
        <w:t>condicio sine qua non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per l’utilizzabilità dei “vaccini”-Covid-19 da essa autorizzate in via condizionata e centralizzata per tutta l’UE, </w:t>
      </w:r>
      <w:r w:rsidRPr="00061906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l’autorizzazione di immissione sul mercato dei vaccini-Covid-19 è da considerare non concessa, e l’inoculazione della sostanza non è consentita, e ciò a maggior ragione se la persona interessata si vede confrontata con un ricatto/estorsione 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>(consistente nella minaccia di</w:t>
      </w:r>
      <w:r w:rsidR="001B262B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sottoporla a sanzione</w:t>
      </w:r>
      <w:r w:rsidRPr="00061906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) </w:t>
      </w:r>
      <w:r w:rsidRPr="00061906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che ha l’evidente scopo di spingerla a farsi trattare con tale sostanza!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E7F37" w:rsidRPr="00E15D5C" w:rsidRDefault="00361CB7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77A4">
        <w:rPr>
          <w:rFonts w:ascii="Arial" w:hAnsi="Arial" w:cs="Arial"/>
          <w:sz w:val="22"/>
          <w:szCs w:val="22"/>
        </w:rPr>
        <w:t>N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 xml:space="preserve">ell’art. 8 del Regolamento (CE) n. 507/2006 è previsto, quale condizione necessaria per l’uso </w:t>
      </w:r>
      <w:r w:rsidR="00713AB6" w:rsidRPr="006A77A4">
        <w:rPr>
          <w:rFonts w:ascii="Arial" w:hAnsi="Arial" w:cs="Arial"/>
          <w:b/>
          <w:bCs/>
          <w:sz w:val="22"/>
          <w:szCs w:val="22"/>
        </w:rPr>
        <w:t xml:space="preserve">consentito e, dunque, 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>legittimo di queste sostanze, a carico delle autorità sanitarie e dei sanitari coinvolti nella campagna vaccinale un rigoroso obbligo di informazione</w:t>
      </w:r>
      <w:r w:rsidR="005E7F37" w:rsidRPr="00E15D5C">
        <w:rPr>
          <w:rFonts w:ascii="Arial" w:hAnsi="Arial" w:cs="Arial"/>
          <w:sz w:val="22"/>
          <w:szCs w:val="22"/>
        </w:rPr>
        <w:t>, e che richiede che l’inoculando/a deve essere espressamente informato/a del fatto</w:t>
      </w:r>
    </w:p>
    <w:p w:rsidR="005E7F37" w:rsidRPr="00E15D5C" w:rsidRDefault="005E7F37" w:rsidP="005E7F37">
      <w:pPr>
        <w:pStyle w:val="Listenabsatz"/>
        <w:numPr>
          <w:ilvl w:val="0"/>
          <w:numId w:val="1"/>
        </w:numPr>
        <w:spacing w:line="240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 xml:space="preserve">che la sostanza è stata autorizzata solo in via condizionata (con indicazione della data di scadenza dell’autorizzazione condizionata) perché mancano tutta una serie di studi (preclinici, farmacologici e clinici) in quanto non fatti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tout court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oppure perché ancora in atto, e </w:t>
      </w:r>
    </w:p>
    <w:p w:rsidR="005E7F37" w:rsidRPr="00E15D5C" w:rsidRDefault="005E7F37" w:rsidP="005E7F37">
      <w:pPr>
        <w:pStyle w:val="Listenabsatz"/>
        <w:numPr>
          <w:ilvl w:val="0"/>
          <w:numId w:val="2"/>
        </w:numPr>
        <w:spacing w:line="24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 xml:space="preserve">che, dunque, </w:t>
      </w:r>
      <w:r w:rsidRPr="00E15D5C">
        <w:rPr>
          <w:rFonts w:ascii="Arial" w:hAnsi="Arial" w:cs="Arial"/>
          <w:b/>
          <w:bCs/>
          <w:sz w:val="22"/>
          <w:szCs w:val="22"/>
          <w:u w:val="single"/>
        </w:rPr>
        <w:t>allo stato non è confermata né l’efficacia né la sicurezza del farmaco</w:t>
      </w:r>
      <w:r w:rsidR="00361CB7" w:rsidRPr="00E15D5C">
        <w:rPr>
          <w:rFonts w:ascii="Arial" w:hAnsi="Arial" w:cs="Arial"/>
          <w:sz w:val="22"/>
          <w:szCs w:val="22"/>
        </w:rPr>
        <w:t>.</w:t>
      </w:r>
    </w:p>
    <w:p w:rsidR="005E7F37" w:rsidRPr="00E15D5C" w:rsidRDefault="005E7F37" w:rsidP="005E7F37">
      <w:pPr>
        <w:pStyle w:val="Listenabsatz"/>
        <w:spacing w:line="240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A23DC3" w:rsidRPr="006A77A4" w:rsidRDefault="00361CB7" w:rsidP="00A23DC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A77A4">
        <w:rPr>
          <w:rFonts w:ascii="Arial" w:hAnsi="Arial" w:cs="Arial"/>
          <w:b/>
          <w:bCs/>
          <w:sz w:val="22"/>
          <w:szCs w:val="22"/>
        </w:rPr>
        <w:t>L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>a prescrizione medica</w:t>
      </w:r>
      <w:r w:rsidR="00713AB6" w:rsidRPr="006A77A4">
        <w:rPr>
          <w:rFonts w:ascii="Arial" w:hAnsi="Arial" w:cs="Arial"/>
          <w:sz w:val="22"/>
          <w:szCs w:val="22"/>
        </w:rPr>
        <w:t>,</w:t>
      </w:r>
      <w:r w:rsidR="005E7F37" w:rsidRPr="006A77A4">
        <w:rPr>
          <w:rFonts w:ascii="Arial" w:hAnsi="Arial" w:cs="Arial"/>
          <w:sz w:val="22"/>
          <w:szCs w:val="22"/>
        </w:rPr>
        <w:t xml:space="preserve"> di cui al precedente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 xml:space="preserve"> </w:t>
      </w:r>
      <w:r w:rsidR="005E7F37" w:rsidRPr="006A77A4">
        <w:rPr>
          <w:rFonts w:ascii="Arial" w:hAnsi="Arial" w:cs="Arial"/>
          <w:sz w:val="22"/>
          <w:szCs w:val="22"/>
        </w:rPr>
        <w:t xml:space="preserve">punto </w:t>
      </w:r>
      <w:r w:rsidR="002F278F">
        <w:rPr>
          <w:rFonts w:ascii="Arial" w:hAnsi="Arial" w:cs="Arial"/>
          <w:sz w:val="22"/>
          <w:szCs w:val="22"/>
        </w:rPr>
        <w:t>2</w:t>
      </w:r>
      <w:r w:rsidR="005E7F37" w:rsidRPr="006A77A4">
        <w:rPr>
          <w:rFonts w:ascii="Arial" w:hAnsi="Arial" w:cs="Arial"/>
          <w:sz w:val="22"/>
          <w:szCs w:val="22"/>
        </w:rPr>
        <w:t>)</w:t>
      </w:r>
      <w:r w:rsidR="005E7F37" w:rsidRPr="006A77A4">
        <w:rPr>
          <w:rFonts w:ascii="Arial" w:hAnsi="Arial" w:cs="Arial"/>
          <w:b/>
          <w:bCs/>
          <w:sz w:val="22"/>
          <w:szCs w:val="22"/>
        </w:rPr>
        <w:t xml:space="preserve"> deve ovviamente fare esplicito riferimento alla circostanza che il “vaccino” prescritto è stato autorizzato solo in via condizionata perché di fatto si trova ancora in una fase sperimentale, mancando importanti dati per la conferma della sua efficacia e sicurezza</w:t>
      </w:r>
      <w:r w:rsidR="00DB5ABC" w:rsidRPr="006A77A4">
        <w:rPr>
          <w:rFonts w:ascii="Arial" w:hAnsi="Arial" w:cs="Arial"/>
          <w:sz w:val="22"/>
          <w:szCs w:val="22"/>
        </w:rPr>
        <w:t>.</w:t>
      </w:r>
    </w:p>
    <w:p w:rsidR="00DB5ABC" w:rsidRPr="00E15D5C" w:rsidRDefault="00DB5ABC" w:rsidP="00DB5ABC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23DC3" w:rsidRPr="00E15D5C" w:rsidRDefault="00A23DC3" w:rsidP="00A23DC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L’AIFA nella sua rispettiva determina ha classificato i “vaccini”-Covid-19 come un farmaco che richiede l’esigente </w:t>
      </w:r>
      <w:r w:rsidRPr="00E15D5C">
        <w:rPr>
          <w:rFonts w:ascii="Arial" w:hAnsi="Arial" w:cs="Arial"/>
          <w:b/>
          <w:bCs/>
          <w:sz w:val="22"/>
          <w:szCs w:val="22"/>
        </w:rPr>
        <w:t>prescrizione medica RRL</w:t>
      </w:r>
      <w:r w:rsidRPr="00E15D5C">
        <w:rPr>
          <w:rFonts w:ascii="Arial" w:hAnsi="Arial" w:cs="Arial"/>
          <w:sz w:val="22"/>
          <w:szCs w:val="22"/>
        </w:rPr>
        <w:t xml:space="preserve">. </w:t>
      </w:r>
    </w:p>
    <w:p w:rsidR="005E7F37" w:rsidRPr="001A6F3F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5E7F37" w:rsidRPr="00E15D5C" w:rsidRDefault="00361CB7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L’</w:t>
      </w:r>
      <w:r w:rsidR="005E7F37" w:rsidRPr="00E15D5C">
        <w:rPr>
          <w:rFonts w:ascii="Arial" w:hAnsi="Arial" w:cs="Arial"/>
          <w:sz w:val="22"/>
          <w:szCs w:val="22"/>
        </w:rPr>
        <w:t xml:space="preserve">Autorità Europea del Farmaco (EMA) nel sunto del parere positivo dato per l’autorizzazione in via condizionata per l’immissione sul mercato delle </w:t>
      </w:r>
      <w:r w:rsidR="00F60F9C">
        <w:rPr>
          <w:rFonts w:ascii="Arial" w:hAnsi="Arial" w:cs="Arial"/>
          <w:sz w:val="22"/>
          <w:szCs w:val="22"/>
        </w:rPr>
        <w:t>cinque</w:t>
      </w:r>
      <w:r w:rsidR="005E7F37" w:rsidRPr="00E15D5C">
        <w:rPr>
          <w:rFonts w:ascii="Arial" w:hAnsi="Arial" w:cs="Arial"/>
          <w:sz w:val="22"/>
          <w:szCs w:val="22"/>
        </w:rPr>
        <w:t xml:space="preserve"> sostanze dà delle indicazioni determinanti. Vedasi qui p.e. per 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Comirnaty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 di Pfizer/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BioNTech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>:</w:t>
      </w:r>
    </w:p>
    <w:p w:rsidR="005E7F37" w:rsidRPr="00E15D5C" w:rsidRDefault="00ED0BC4" w:rsidP="005E7F37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  <w:hyperlink r:id="rId22" w:history="1">
        <w:r w:rsidR="005E7F37" w:rsidRPr="00E15D5C">
          <w:rPr>
            <w:rStyle w:val="Hyperlink"/>
            <w:rFonts w:ascii="Arial" w:hAnsi="Arial" w:cs="Arial"/>
            <w:sz w:val="22"/>
            <w:szCs w:val="22"/>
          </w:rPr>
          <w:t>https://www.ema.europa.eu/en/documents/overview/comirnaty-epar-medicine-overview_it.pdf</w:t>
        </w:r>
      </w:hyperlink>
      <w:r w:rsidR="005E7F37" w:rsidRPr="00E15D5C">
        <w:rPr>
          <w:rFonts w:ascii="Arial" w:hAnsi="Arial" w:cs="Arial"/>
          <w:sz w:val="22"/>
          <w:szCs w:val="22"/>
        </w:rPr>
        <w:t>: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>“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è un vaccino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per la prevenzione della malattia da coronavirus 2019 (COVID-19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) nelle persone di età pari o superiore a 5 anni…. 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agisce predisponendo l’organismo a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difendersi dalla COVID-19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I dati della sperimentazione non erano sufficienti per trarre conclusioni in merito all’efficacia di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nelle persone che hanno già avuto la COVID-19</w:t>
      </w:r>
      <w:r w:rsidRPr="00E15D5C">
        <w:rPr>
          <w:rFonts w:ascii="Arial" w:hAnsi="Arial" w:cs="Arial"/>
          <w:i/>
          <w:iCs/>
          <w:sz w:val="22"/>
          <w:szCs w:val="22"/>
        </w:rPr>
        <w:t>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Può 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ridurre la trasmissione del virus da una persona a un’altra?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L’impatto della vaccinazione con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sulla diffusione del virus SARS-CoV-2 tra la popolazione non è ancora noto. Non si conosce ancora fino a che punto i soggetti vaccinati possano ancora essere portatori del virus e in grado di diffonderlo</w:t>
      </w:r>
      <w:r w:rsidRPr="00E15D5C">
        <w:rPr>
          <w:rFonts w:ascii="Arial" w:hAnsi="Arial" w:cs="Arial"/>
          <w:i/>
          <w:iCs/>
          <w:sz w:val="22"/>
          <w:szCs w:val="22"/>
        </w:rPr>
        <w:t>.</w:t>
      </w:r>
      <w:r w:rsidRPr="00E15D5C">
        <w:rPr>
          <w:rStyle w:val="Funotenzeichen"/>
          <w:rFonts w:ascii="Arial" w:hAnsi="Arial" w:cs="Arial"/>
          <w:i/>
          <w:iCs/>
          <w:sz w:val="22"/>
          <w:szCs w:val="22"/>
        </w:rPr>
        <w:footnoteReference w:id="1"/>
      </w:r>
      <w:r w:rsidRPr="00E15D5C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lastRenderedPageBreak/>
        <w:t xml:space="preserve">Quanto dura la protezione di 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?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Al momento non si conosce la durata della protezione conferita da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Le persone vaccinate nell’ambito della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sperimentazione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clinica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continueranno a essere monitorate per 2 anni per raccogliere maggiori informazioni sulla durata della protezione</w:t>
      </w:r>
      <w:r w:rsidRPr="00E15D5C">
        <w:rPr>
          <w:rFonts w:ascii="Arial" w:hAnsi="Arial" w:cs="Arial"/>
          <w:i/>
          <w:iCs/>
          <w:sz w:val="22"/>
          <w:szCs w:val="22"/>
        </w:rPr>
        <w:t>……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I dati relativi all’uso nelle persone immunocompromesse sono limitati</w:t>
      </w:r>
      <w:r w:rsidRPr="00E15D5C">
        <w:rPr>
          <w:rFonts w:ascii="Arial" w:hAnsi="Arial" w:cs="Arial"/>
          <w:i/>
          <w:iCs/>
          <w:sz w:val="22"/>
          <w:szCs w:val="22"/>
        </w:rPr>
        <w:t>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i dati relativi all’uso di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in donne in gravidanza sono limitati.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 Sebbene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non esistano studi sull’allattamento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, non si prevedono rischi in caso di allattamento.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La decisione di usare il vaccino in donne in gravidanza deve essere presa di concerto con un operatore sanitario, dopo aver considerato i benefici e i rischi…..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Poiché </w:t>
      </w:r>
      <w:proofErr w:type="spellStart"/>
      <w:r w:rsidRPr="00E15D5C">
        <w:rPr>
          <w:rFonts w:ascii="Arial" w:hAnsi="Arial" w:cs="Arial"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i/>
          <w:iCs/>
          <w:sz w:val="22"/>
          <w:szCs w:val="22"/>
        </w:rPr>
        <w:t xml:space="preserve"> ha ricevuto un’autorizzazione all’immissione in commercio subordinata a condizioni, la ditta che lo commercializza continuerà a fornire i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risultati della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sperimentazione principale negli adulti, che dura da 2 anni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, nonché delle sperimentazioni in bambini e adolescenti.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Questa sperimentazione e altri studi forniranno informazioni sulla durata della protezione, sulla capacità del vaccino di prevenire la forma grave di COVID-19, sulla misura in cui protegge le persone immunocompromesse e le donne in gravidanza, e sulla capacità di prevenire i casi asintomatici. Inoltre, studi indipendenti sui vaccini anti-COVID-19, coordinati dalle autorità dell’UE, forniranno informazioni aggiuntive sulla sicurezza a lungo termine del vaccino e sui relativi benefici per la popolazione in generale</w:t>
      </w:r>
      <w:r w:rsidRPr="00E15D5C">
        <w:rPr>
          <w:rFonts w:ascii="Arial" w:hAnsi="Arial" w:cs="Arial"/>
          <w:i/>
          <w:iCs/>
          <w:sz w:val="22"/>
          <w:szCs w:val="22"/>
        </w:rPr>
        <w:t>…..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Le raccomandazioni e le precauzioni che gli operatori sanitari e i pazienti devono osservare affinché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sia usato in modo sicuro ed efficace sono state riportate nel riassunto delle caratteristiche del prodotto e nel foglio illustrativo</w:t>
      </w:r>
      <w:r w:rsidRPr="00E15D5C">
        <w:rPr>
          <w:rFonts w:ascii="Arial" w:hAnsi="Arial" w:cs="Arial"/>
          <w:i/>
          <w:iCs/>
          <w:sz w:val="22"/>
          <w:szCs w:val="22"/>
        </w:rPr>
        <w:t>. Inoltre</w:t>
      </w:r>
      <w:r w:rsidRPr="00E15D5C">
        <w:rPr>
          <w:rFonts w:ascii="Arial" w:hAnsi="Arial" w:cs="Arial"/>
          <w:i/>
          <w:iCs/>
          <w:sz w:val="22"/>
          <w:szCs w:val="22"/>
          <w:u w:val="single"/>
        </w:rPr>
        <w:t xml:space="preserve">,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è stato disposto un piano di gestione del rischio (RMP)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per </w:t>
      </w:r>
      <w:proofErr w:type="spellStart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Comirnaty</w:t>
      </w:r>
      <w:proofErr w:type="spellEnd"/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che contiene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importanti informazioni sulla sicurezza del vaccino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, su come raccogliere ulteriori informazioni e su come minimizzare eventuali rischi potenziali.”</w:t>
      </w:r>
    </w:p>
    <w:p w:rsidR="005E7F37" w:rsidRPr="00E15D5C" w:rsidRDefault="005E7F37" w:rsidP="005E7F37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E7F37" w:rsidRPr="00E15D5C" w:rsidRDefault="005E7F37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L’Autorità Europea del Farmaco avverte, dunque</w:t>
      </w:r>
      <w:r w:rsidR="00F60F9C">
        <w:rPr>
          <w:rFonts w:ascii="Arial" w:hAnsi="Arial" w:cs="Arial"/>
          <w:sz w:val="22"/>
          <w:szCs w:val="22"/>
        </w:rPr>
        <w:t>,</w:t>
      </w:r>
      <w:r w:rsidRPr="00E15D5C">
        <w:rPr>
          <w:rFonts w:ascii="Arial" w:hAnsi="Arial" w:cs="Arial"/>
          <w:sz w:val="22"/>
          <w:szCs w:val="22"/>
        </w:rPr>
        <w:t xml:space="preserve"> esplicitamente che </w:t>
      </w:r>
      <w:r w:rsidRPr="00DB5ABC">
        <w:rPr>
          <w:rFonts w:ascii="Arial" w:hAnsi="Arial" w:cs="Arial"/>
          <w:sz w:val="22"/>
          <w:szCs w:val="22"/>
          <w:u w:val="single"/>
        </w:rPr>
        <w:t>ai fini di una legittima e corretta applicazione bisogna prendere assolutamente in considerazione quanto indicato in punto rischi nelle relazioni di gestione dei rischi</w:t>
      </w:r>
      <w:r w:rsidRPr="00E15D5C">
        <w:rPr>
          <w:rFonts w:ascii="Arial" w:hAnsi="Arial" w:cs="Arial"/>
          <w:sz w:val="22"/>
          <w:szCs w:val="22"/>
        </w:rPr>
        <w:t xml:space="preserve"> (</w:t>
      </w:r>
      <w:r w:rsidRPr="00E15D5C">
        <w:rPr>
          <w:rFonts w:ascii="Arial" w:hAnsi="Arial" w:cs="Arial"/>
          <w:b/>
          <w:bCs/>
          <w:sz w:val="22"/>
          <w:szCs w:val="22"/>
        </w:rPr>
        <w:t>Risk Management Plan</w:t>
      </w:r>
      <w:r w:rsidRPr="00E15D5C">
        <w:rPr>
          <w:rFonts w:ascii="Arial" w:hAnsi="Arial" w:cs="Arial"/>
          <w:sz w:val="22"/>
          <w:szCs w:val="22"/>
        </w:rPr>
        <w:t>) presentati dai produttori delle sostanze:</w:t>
      </w:r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Comirnaty</w:t>
      </w:r>
      <w:proofErr w:type="spellEnd"/>
      <w:r w:rsidRPr="00061906">
        <w:rPr>
          <w:rFonts w:ascii="Arial" w:hAnsi="Arial"/>
          <w:sz w:val="22"/>
          <w:szCs w:val="22"/>
        </w:rPr>
        <w:t xml:space="preserve"> di Pfizer/</w:t>
      </w:r>
      <w:proofErr w:type="spellStart"/>
      <w:r w:rsidRPr="00061906">
        <w:rPr>
          <w:rFonts w:ascii="Arial" w:hAnsi="Arial"/>
          <w:sz w:val="22"/>
          <w:szCs w:val="22"/>
        </w:rPr>
        <w:t>BioNTech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A23DC3" w:rsidRPr="00061906" w:rsidRDefault="00ED0BC4" w:rsidP="00A23DC3">
      <w:pPr>
        <w:spacing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hyperlink r:id="rId23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https://www.ema.europa.eu/en/documents/rmp-summary/comirnaty-epar-risk-management-plan_en.pdf</w:t>
        </w:r>
      </w:hyperlink>
    </w:p>
    <w:p w:rsidR="00A23DC3" w:rsidRPr="00061906" w:rsidRDefault="00A23DC3" w:rsidP="00A23DC3">
      <w:pPr>
        <w:spacing w:after="0"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40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Spikevax</w:t>
      </w:r>
      <w:proofErr w:type="spellEnd"/>
      <w:r w:rsidRPr="00061906">
        <w:rPr>
          <w:rFonts w:ascii="Arial" w:hAnsi="Arial"/>
          <w:sz w:val="22"/>
          <w:szCs w:val="22"/>
        </w:rPr>
        <w:t xml:space="preserve"> di Moderna:</w:t>
      </w:r>
    </w:p>
    <w:p w:rsidR="00A23DC3" w:rsidRPr="00061906" w:rsidRDefault="00ED0BC4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24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https://www.ema.europa.eu/en/documents/rmp-summary/spikevax-previously-covid-19-vaccine-moderna-epar-risk-management-plan_en.pdf</w:t>
        </w:r>
      </w:hyperlink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Vaxzevria</w:t>
      </w:r>
      <w:proofErr w:type="spellEnd"/>
      <w:r w:rsidRPr="00061906">
        <w:rPr>
          <w:rFonts w:ascii="Arial" w:hAnsi="Arial"/>
          <w:sz w:val="22"/>
          <w:szCs w:val="22"/>
        </w:rPr>
        <w:t xml:space="preserve"> di </w:t>
      </w:r>
      <w:proofErr w:type="spellStart"/>
      <w:r w:rsidRPr="00061906">
        <w:rPr>
          <w:rFonts w:ascii="Arial" w:hAnsi="Arial"/>
          <w:sz w:val="22"/>
          <w:szCs w:val="22"/>
        </w:rPr>
        <w:t>Spikevax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A23DC3" w:rsidRPr="00061906" w:rsidRDefault="00ED0BC4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</w:rPr>
      </w:pPr>
      <w:hyperlink r:id="rId25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</w:rPr>
          <w:t>https://www.ema.europa.eu/en/documents/rmp-summary/vaxzevria-previously-covid-19-vaccine-astrazeneca-epar-risk-management-plan_en.pdf</w:t>
        </w:r>
      </w:hyperlink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jc w:val="both"/>
        <w:rPr>
          <w:rFonts w:ascii="Arial" w:hAnsi="Arial"/>
          <w:sz w:val="22"/>
          <w:szCs w:val="22"/>
          <w:lang w:val="en-US"/>
        </w:rPr>
      </w:pPr>
      <w:r w:rsidRPr="00061906">
        <w:rPr>
          <w:rFonts w:ascii="Arial" w:hAnsi="Arial"/>
          <w:sz w:val="22"/>
          <w:szCs w:val="22"/>
          <w:lang w:val="en-US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  <w:lang w:val="en-US"/>
        </w:rPr>
        <w:t>Jannsen</w:t>
      </w:r>
      <w:proofErr w:type="spellEnd"/>
      <w:r w:rsidRPr="00061906">
        <w:rPr>
          <w:rFonts w:ascii="Arial" w:hAnsi="Arial"/>
          <w:sz w:val="22"/>
          <w:szCs w:val="22"/>
          <w:lang w:val="en-US"/>
        </w:rPr>
        <w:t xml:space="preserve"> di Johnson &amp; Johnson:</w:t>
      </w:r>
    </w:p>
    <w:p w:rsidR="00A23DC3" w:rsidRPr="00061906" w:rsidRDefault="00ED0BC4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  <w:lang w:val="en-US"/>
        </w:rPr>
      </w:pPr>
      <w:hyperlink r:id="rId26" w:history="1">
        <w:r w:rsidR="00A23DC3" w:rsidRPr="00061906">
          <w:rPr>
            <w:rFonts w:ascii="Arial" w:hAnsi="Arial"/>
            <w:color w:val="0563C1" w:themeColor="hyperlink"/>
            <w:sz w:val="22"/>
            <w:szCs w:val="22"/>
            <w:u w:val="single"/>
            <w:lang w:val="en-US"/>
          </w:rPr>
          <w:t>https://www.ema.europa.eu/en/documents/rmp-summary/covid-19-vaccine-janssen-epar-risk-management-plan_en.pdf</w:t>
        </w:r>
      </w:hyperlink>
      <w:r w:rsidR="00A23DC3" w:rsidRPr="00061906">
        <w:rPr>
          <w:rFonts w:ascii="Arial" w:hAnsi="Arial"/>
          <w:color w:val="0563C1" w:themeColor="hyperlink"/>
          <w:sz w:val="22"/>
          <w:szCs w:val="22"/>
          <w:u w:val="single"/>
          <w:lang w:val="en-US"/>
        </w:rPr>
        <w:t>.</w:t>
      </w:r>
    </w:p>
    <w:p w:rsidR="00A23DC3" w:rsidRPr="00061906" w:rsidRDefault="00A23DC3" w:rsidP="00A23DC3">
      <w:pPr>
        <w:numPr>
          <w:ilvl w:val="0"/>
          <w:numId w:val="19"/>
        </w:numPr>
        <w:suppressAutoHyphens w:val="0"/>
        <w:autoSpaceDE/>
        <w:autoSpaceDN/>
        <w:adjustRightInd/>
        <w:spacing w:after="0" w:line="259" w:lineRule="auto"/>
        <w:ind w:left="1134"/>
        <w:contextualSpacing/>
        <w:jc w:val="both"/>
        <w:rPr>
          <w:rFonts w:ascii="Arial" w:hAnsi="Arial"/>
          <w:sz w:val="22"/>
          <w:szCs w:val="22"/>
        </w:rPr>
      </w:pPr>
      <w:r w:rsidRPr="00061906">
        <w:rPr>
          <w:rFonts w:ascii="Arial" w:hAnsi="Arial"/>
          <w:sz w:val="22"/>
          <w:szCs w:val="22"/>
        </w:rPr>
        <w:t xml:space="preserve">per </w:t>
      </w:r>
      <w:proofErr w:type="spellStart"/>
      <w:r w:rsidRPr="00061906">
        <w:rPr>
          <w:rFonts w:ascii="Arial" w:hAnsi="Arial"/>
          <w:sz w:val="22"/>
          <w:szCs w:val="22"/>
        </w:rPr>
        <w:t>Nuvaxovid</w:t>
      </w:r>
      <w:proofErr w:type="spellEnd"/>
      <w:r w:rsidRPr="00061906">
        <w:rPr>
          <w:rFonts w:ascii="Arial" w:hAnsi="Arial"/>
          <w:sz w:val="22"/>
          <w:szCs w:val="22"/>
        </w:rPr>
        <w:t xml:space="preserve"> di </w:t>
      </w:r>
      <w:proofErr w:type="spellStart"/>
      <w:r w:rsidRPr="00061906">
        <w:rPr>
          <w:rFonts w:ascii="Arial" w:hAnsi="Arial"/>
          <w:sz w:val="22"/>
          <w:szCs w:val="22"/>
        </w:rPr>
        <w:t>Novavax</w:t>
      </w:r>
      <w:proofErr w:type="spellEnd"/>
      <w:r w:rsidRPr="00061906">
        <w:rPr>
          <w:rFonts w:ascii="Arial" w:hAnsi="Arial"/>
          <w:sz w:val="22"/>
          <w:szCs w:val="22"/>
        </w:rPr>
        <w:t>:</w:t>
      </w:r>
    </w:p>
    <w:p w:rsidR="00A23DC3" w:rsidRPr="00061906" w:rsidRDefault="00A23DC3" w:rsidP="00A23DC3">
      <w:pPr>
        <w:ind w:left="1134"/>
        <w:jc w:val="both"/>
        <w:rPr>
          <w:rFonts w:ascii="Arial" w:hAnsi="Arial"/>
          <w:color w:val="0563C1" w:themeColor="hyperlink"/>
          <w:sz w:val="22"/>
          <w:szCs w:val="22"/>
          <w:u w:val="single"/>
        </w:rPr>
      </w:pPr>
      <w:r w:rsidRPr="00061906">
        <w:rPr>
          <w:rFonts w:ascii="Arial" w:hAnsi="Arial"/>
          <w:color w:val="0563C1" w:themeColor="hyperlink"/>
          <w:sz w:val="22"/>
          <w:szCs w:val="22"/>
          <w:u w:val="single"/>
        </w:rPr>
        <w:t>https://www.ema.europa.eu/en/documents/rmp-summary/nuvaxovid-epar-risk-management-plan-summary_en.pdf.</w:t>
      </w:r>
    </w:p>
    <w:p w:rsidR="00873640" w:rsidRPr="00061906" w:rsidRDefault="00873640" w:rsidP="00873640">
      <w:pPr>
        <w:ind w:left="426"/>
        <w:jc w:val="both"/>
        <w:rPr>
          <w:rFonts w:ascii="Arial" w:hAnsi="Arial"/>
          <w:b/>
          <w:bCs/>
          <w:sz w:val="22"/>
          <w:szCs w:val="22"/>
        </w:rPr>
      </w:pPr>
      <w:r w:rsidRPr="00061906">
        <w:rPr>
          <w:rFonts w:ascii="Arial" w:hAnsi="Arial"/>
          <w:b/>
          <w:bCs/>
          <w:sz w:val="22"/>
          <w:szCs w:val="22"/>
        </w:rPr>
        <w:t>I produttori dei cosiddetti “vaccini”-Covid-19 dichiarano, dunque, ufficialmente che ad oggi non hanno i</w:t>
      </w:r>
      <w:r w:rsidR="00F60F9C">
        <w:rPr>
          <w:rFonts w:ascii="Arial" w:hAnsi="Arial"/>
          <w:b/>
          <w:bCs/>
          <w:sz w:val="22"/>
          <w:szCs w:val="22"/>
        </w:rPr>
        <w:t>/le</w:t>
      </w:r>
      <w:r w:rsidRPr="00061906">
        <w:rPr>
          <w:rFonts w:ascii="Arial" w:hAnsi="Arial"/>
          <w:b/>
          <w:bCs/>
          <w:sz w:val="22"/>
          <w:szCs w:val="22"/>
        </w:rPr>
        <w:t xml:space="preserve"> dati/informazioni in punto effetti della sostanza: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a medio/lungo termine;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in correlazione con altri farmaci;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sulle donne incinte, sui feti e sui bambini allattati;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lastRenderedPageBreak/>
        <w:t>sulle persone con un problema nel sistema immunitario;</w:t>
      </w:r>
    </w:p>
    <w:p w:rsidR="00873640" w:rsidRPr="00061906" w:rsidRDefault="00873640" w:rsidP="00873640">
      <w:pPr>
        <w:numPr>
          <w:ilvl w:val="0"/>
          <w:numId w:val="2"/>
        </w:numPr>
        <w:suppressAutoHyphens w:val="0"/>
        <w:autoSpaceDE/>
        <w:autoSpaceDN/>
        <w:adjustRightInd/>
        <w:spacing w:line="259" w:lineRule="auto"/>
        <w:ind w:left="851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sulle persone con un problema di tipo infiammatorio.</w:t>
      </w:r>
    </w:p>
    <w:p w:rsidR="00873640" w:rsidRPr="00061906" w:rsidRDefault="00873640" w:rsidP="00873640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kern w:val="0"/>
          <w:sz w:val="22"/>
          <w:szCs w:val="22"/>
          <w:lang w:eastAsia="en-US" w:bidi="ar-SA"/>
        </w:rPr>
        <w:t>Con ciò, peraltro i produttori dichiarano, che sanno in realtà ben poco</w:t>
      </w:r>
      <w:r w:rsidR="002F278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sugli effetti e rischi di queste sostanze!</w:t>
      </w:r>
    </w:p>
    <w:p w:rsidR="00873640" w:rsidRDefault="00873640" w:rsidP="00873640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 w:rsidRPr="00061906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E ciò, peraltro, non è neanche tanto stupefacente, dato che per queste sostanze </w:t>
      </w:r>
      <w:r w:rsidRPr="0050101E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non sono stati fatti </w:t>
      </w:r>
      <w:r w:rsidRPr="0050101E">
        <w:rPr>
          <w:rFonts w:ascii="Arial" w:eastAsiaTheme="minorHAnsi" w:hAnsi="Arial"/>
          <w:b/>
          <w:bCs/>
          <w:i/>
          <w:iCs/>
          <w:kern w:val="0"/>
          <w:sz w:val="22"/>
          <w:szCs w:val="22"/>
          <w:lang w:eastAsia="en-US" w:bidi="ar-SA"/>
        </w:rPr>
        <w:t>tout court</w:t>
      </w:r>
      <w:r w:rsidRPr="0050101E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importanti studi come quello sulla cancerogenicità e sulla </w:t>
      </w:r>
      <w:proofErr w:type="spellStart"/>
      <w:r w:rsidRPr="0050101E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mutagenicità</w:t>
      </w:r>
      <w:proofErr w:type="spellEnd"/>
      <w:r w:rsidRPr="00061906">
        <w:rPr>
          <w:rFonts w:ascii="Arial" w:eastAsiaTheme="minorHAnsi" w:hAnsi="Arial"/>
          <w:kern w:val="0"/>
          <w:sz w:val="22"/>
          <w:szCs w:val="22"/>
          <w:lang w:eastAsia="en-US" w:bidi="ar-SA"/>
        </w:rPr>
        <w:t>!</w:t>
      </w:r>
    </w:p>
    <w:p w:rsidR="00970AEF" w:rsidRDefault="00970AEF" w:rsidP="00873640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Mentre </w:t>
      </w: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escono sempre più studi autorevoli</w:t>
      </w:r>
      <w:r w:rsidR="0050101E"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fatti da esperti indipendenti</w:t>
      </w:r>
      <w:r w:rsidR="0050101E">
        <w:rPr>
          <w:rFonts w:ascii="Arial" w:eastAsiaTheme="minorHAnsi" w:hAnsi="Arial"/>
          <w:kern w:val="0"/>
          <w:sz w:val="22"/>
          <w:szCs w:val="22"/>
          <w:lang w:eastAsia="en-US" w:bidi="ar-SA"/>
        </w:rPr>
        <w:t>,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 come quello dell’Università di Lund, Malmö, </w:t>
      </w:r>
      <w:proofErr w:type="spellStart"/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Sevzia</w:t>
      </w:r>
      <w:proofErr w:type="spellEnd"/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,</w:t>
      </w:r>
    </w:p>
    <w:p w:rsidR="00970AEF" w:rsidRDefault="00ED0BC4" w:rsidP="00970AEF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hyperlink r:id="rId27" w:history="1">
        <w:r w:rsidR="00970AEF" w:rsidRPr="002F1269">
          <w:rPr>
            <w:rStyle w:val="Hyperlink"/>
            <w:rFonts w:ascii="Arial" w:eastAsiaTheme="minorHAnsi" w:hAnsi="Arial" w:cs="Arial"/>
            <w:kern w:val="0"/>
            <w:sz w:val="22"/>
            <w:szCs w:val="22"/>
            <w:lang w:eastAsia="en-US" w:bidi="ar-SA"/>
          </w:rPr>
          <w:t>https://www.mdpi.com/1467-3045/44/3/73/htm</w:t>
        </w:r>
      </w:hyperlink>
    </w:p>
    <w:p w:rsidR="00970AEF" w:rsidRPr="002F278F" w:rsidRDefault="00970AEF" w:rsidP="00715521">
      <w:pPr>
        <w:ind w:left="426"/>
        <w:contextualSpacing/>
        <w:jc w:val="both"/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</w:pP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che dimostrano che queste sostanze </w:t>
      </w:r>
      <w:r w:rsidR="00715521"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possono</w:t>
      </w: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portare </w:t>
      </w:r>
      <w:r w:rsidR="00715521"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>persino ad</w:t>
      </w:r>
      <w:r w:rsidRPr="002F278F">
        <w:rPr>
          <w:rFonts w:ascii="Arial" w:eastAsiaTheme="minorHAnsi" w:hAnsi="Arial"/>
          <w:b/>
          <w:bCs/>
          <w:kern w:val="0"/>
          <w:sz w:val="22"/>
          <w:szCs w:val="22"/>
          <w:lang w:eastAsia="en-US" w:bidi="ar-SA"/>
        </w:rPr>
        <w:t xml:space="preserve"> una modifica del genoma umano! </w:t>
      </w:r>
    </w:p>
    <w:p w:rsidR="0050101E" w:rsidRDefault="0050101E" w:rsidP="00715521">
      <w:pPr>
        <w:ind w:left="426"/>
        <w:contextualSpacing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:rsidR="0050101E" w:rsidRDefault="0050101E" w:rsidP="0050101E">
      <w:pPr>
        <w:pStyle w:val="Listenabsatz"/>
        <w:numPr>
          <w:ilvl w:val="0"/>
          <w:numId w:val="4"/>
        </w:numPr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Allo stato, dunque, al/la sottoscritto/a, visto quanto gli stessi produttori dichiarano nei loro RMP, non può essere data alcuna </w:t>
      </w:r>
      <w:r w:rsidR="002F278F"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conferma della 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sicurezza di queste sostanze.</w:t>
      </w:r>
    </w:p>
    <w:p w:rsidR="0050101E" w:rsidRPr="0050101E" w:rsidRDefault="0050101E" w:rsidP="0050101E">
      <w:pPr>
        <w:pStyle w:val="Listenabsatz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</w:p>
    <w:p w:rsidR="005E7F37" w:rsidRDefault="000D1A2A" w:rsidP="005E7F37">
      <w:pPr>
        <w:pStyle w:val="Listenabsatz"/>
        <w:numPr>
          <w:ilvl w:val="0"/>
          <w:numId w:val="4"/>
        </w:numPr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La </w:t>
      </w:r>
      <w:r w:rsidR="005E7F37" w:rsidRPr="00E15D5C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sperimentazione clinica dei farmaci in Italia è regolata dal DM 15 Luglio 1997</w:t>
      </w:r>
      <w:r w:rsidR="005E7F37"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, che deve trovare rigorosa applicazione anche laddove viene utilizzato un farmaco provvisoriamente autorizzato in via condizionata per l’immissione sul mercato, ma per il quale mancano ancora i dati per la conferma della sua efficacia e sicurezza</w:t>
      </w:r>
      <w:r w:rsidR="002F278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(essendo in corso ancora gli studi clinici </w:t>
      </w:r>
      <w:proofErr w:type="spellStart"/>
      <w:r w:rsidR="002F278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phase</w:t>
      </w:r>
      <w:proofErr w:type="spellEnd"/>
      <w:r w:rsidR="002F278F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III)</w:t>
      </w:r>
      <w:r w:rsidR="005E7F37"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com’è proprio il caso dei cosiddetti “vaccini COVID-19”</w:t>
      </w:r>
      <w:r w:rsidRPr="00E15D5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.</w:t>
      </w:r>
      <w:r w:rsidR="00F60F9C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</w:t>
      </w:r>
    </w:p>
    <w:p w:rsidR="00F60F9C" w:rsidRDefault="00F60F9C" w:rsidP="00F60F9C">
      <w:pPr>
        <w:pStyle w:val="Listenabsatz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F60F9C" w:rsidRPr="0050101E" w:rsidRDefault="00F60F9C" w:rsidP="00F60F9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0101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I </w:t>
      </w:r>
      <w:r w:rsidRPr="0050101E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doveri imposti al medico in punto “prescrizione di un farmaco</w:t>
      </w:r>
      <w:r w:rsidRPr="0050101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” sono indicati ai sensi dell’</w:t>
      </w:r>
      <w:r w:rsidRPr="0050101E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 xml:space="preserve">art. 13 Codice Deontologico del Medico </w:t>
      </w:r>
      <w:r w:rsidRPr="0050101E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testualmente come segue:</w:t>
      </w:r>
    </w:p>
    <w:p w:rsidR="00F60F9C" w:rsidRPr="0050101E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60F9C" w:rsidRPr="0050101E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0101E">
        <w:rPr>
          <w:rFonts w:ascii="Arial" w:hAnsi="Arial" w:cs="Arial"/>
          <w:b/>
          <w:bCs/>
          <w:i/>
          <w:iCs/>
          <w:sz w:val="22"/>
          <w:szCs w:val="22"/>
        </w:rPr>
        <w:t xml:space="preserve">“La prescrizione a fini di prevenzione è una diretta, specifica, esclusiva e non delegabile competenza del medico, impegna la sua autonomia e responsabilità e deve far seguito a una diagnosi circostanziata o a un fondato sospetto diagnostico.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La prescrizione deve fondarsi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 sulle evidenze scientifiche disponibili, sull’uso ottimale delle risorse 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sul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rispetto dei</w:t>
      </w:r>
      <w:r w:rsidRPr="00E15D5C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principi di efficacia clinica, di sicurezza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e di appropriatezza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Il medico tiene conto delle linee guida diagnostico-terapeutiche accreditate da fonti autorevoli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e indipendenti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 quali raccomandazioni 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ne valuta l’applicabilità al caso specifico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L’adozione di protocolli diagnostico-terapeutici o di percorsi clinico-assistenziali impegna la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diretta responsabilità del medico nella verifica della tollerabilità e dell’efficacia sui soggetti coinvolti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Il medico è tenuto a un’adeguata conoscenza della natura e degli effetti dei farmaci prescritti, delle loro indicazioni, controindicazioni, interazioni e reazioni individuali prevedibili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 e delle modalità di impiego appropriato, efficace e sicuro dei mezzi diagnostico-terapeutici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Il medico segnala tempestivamente all’Autorità competente le reazioni avverse o sospette da farmaci.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Il medico può prescrivere farmaci non ancora registrati o non autorizzati al commercio oppure per indicazioni o a dosaggi non previsti dalla scheda tecnica, se la loro tollerabilità ed efficacia è scientificamente fondata e i rischi sono proporzionati ai benefici attesi; in tali casi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motiva l’attività, acquisisce il consenso informato scritto del paziente e valuta nel tempo gli effetti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Il medico può prescrivere, sotto la sua diretta responsabilità e per singoli casi, farmaci che abbiano superato esclusivamente le fasi di sperimentazione relative alla sicurezza e alla tollerabilità, nel </w:t>
      </w:r>
      <w:r w:rsidRPr="00E15D5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rigoroso rispetto dell’ordinamento</w:t>
      </w:r>
      <w:r w:rsidRPr="00E15D5C">
        <w:rPr>
          <w:rFonts w:ascii="Arial" w:hAnsi="Arial" w:cs="Arial"/>
          <w:i/>
          <w:iCs/>
          <w:sz w:val="22"/>
          <w:szCs w:val="22"/>
        </w:rPr>
        <w:t xml:space="preserve">. </w:t>
      </w:r>
    </w:p>
    <w:p w:rsidR="00F60F9C" w:rsidRPr="00E15D5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i/>
          <w:iCs/>
          <w:sz w:val="22"/>
          <w:szCs w:val="22"/>
        </w:rPr>
        <w:t xml:space="preserve">Il medico non acconsente alla richiesta di una prescrizione da parte dell’assistito al solo scopo di compiacerlo. </w:t>
      </w:r>
    </w:p>
    <w:p w:rsidR="00F60F9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Il medico non adotta né diffonde pratiche diagnostiche o terapeutiche delle quali non è resa disponibile idonea documentazione scientifica e clinica valutabile dalla comunità professionale e dall’Autorità competente</w:t>
      </w:r>
      <w:r w:rsidRPr="00E15D5C">
        <w:rPr>
          <w:rFonts w:ascii="Arial" w:hAnsi="Arial" w:cs="Arial"/>
          <w:i/>
          <w:iCs/>
          <w:sz w:val="22"/>
          <w:szCs w:val="22"/>
        </w:rPr>
        <w:t>.”</w:t>
      </w:r>
    </w:p>
    <w:p w:rsidR="00F60F9C" w:rsidRDefault="00F60F9C" w:rsidP="00F60F9C">
      <w:pPr>
        <w:pStyle w:val="Listenabsatz"/>
        <w:spacing w:line="24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F60F9C" w:rsidRDefault="00F60F9C" w:rsidP="00F60F9C">
      <w:pPr>
        <w:pStyle w:val="Listenabsatz"/>
        <w:numPr>
          <w:ilvl w:val="0"/>
          <w:numId w:val="4"/>
        </w:numPr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  <w:r w:rsidRPr="00F60F9C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I cittadini italiani hanno, dunque, un incontestabile </w:t>
      </w:r>
      <w:r w:rsidRPr="00F60F9C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diritto alla garanzia di appropriata valutazione del loro caso singolo (necessità di una prescrizione medica)</w:t>
      </w:r>
      <w:r w:rsidRPr="00F60F9C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 prevista direttamente nelle Decisioni della Commissione Europea di autorizzazione condizionata, e le autorità italiane sottostanno al correlato preciso obbligo </w:t>
      </w:r>
      <w:r w:rsidR="00613B47">
        <w:rPr>
          <w:rFonts w:ascii="Arial" w:eastAsia="Times New Roman" w:hAnsi="Arial"/>
          <w:kern w:val="0"/>
          <w:sz w:val="22"/>
          <w:szCs w:val="22"/>
          <w:lang w:eastAsia="en-US" w:bidi="ar-SA"/>
        </w:rPr>
        <w:t xml:space="preserve">di </w:t>
      </w:r>
      <w:r w:rsidRPr="00F60F9C">
        <w:rPr>
          <w:rFonts w:ascii="Arial" w:eastAsia="Times New Roman" w:hAnsi="Arial"/>
          <w:kern w:val="0"/>
          <w:sz w:val="22"/>
          <w:szCs w:val="22"/>
          <w:lang w:eastAsia="en-US" w:bidi="ar-SA"/>
        </w:rPr>
        <w:t>garantire che l’inoculazione dei “vaccini”-Covid-19 avvenga solo previa prescrizione medica riferita alla singola persona in dovuta applicazione dei doveri a tal fine imposti dall’art. 13 Codice Deontologico dei Medici (sulla base della sottostante normativa) al rispettivo medico specialista!</w:t>
      </w:r>
    </w:p>
    <w:p w:rsidR="0050101E" w:rsidRDefault="0050101E" w:rsidP="0050101E">
      <w:pPr>
        <w:pStyle w:val="Listenabsatz"/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/>
          <w:kern w:val="0"/>
          <w:sz w:val="22"/>
          <w:szCs w:val="22"/>
          <w:lang w:eastAsia="en-US" w:bidi="ar-SA"/>
        </w:rPr>
      </w:pPr>
    </w:p>
    <w:p w:rsidR="0050101E" w:rsidRPr="00EC712B" w:rsidRDefault="0050101E" w:rsidP="0050101E">
      <w:pPr>
        <w:pStyle w:val="Listenabsatz"/>
        <w:numPr>
          <w:ilvl w:val="0"/>
          <w:numId w:val="4"/>
        </w:numPr>
        <w:suppressAutoHyphens w:val="0"/>
        <w:autoSpaceDE/>
        <w:autoSpaceDN/>
        <w:adjustRightInd/>
        <w:spacing w:line="259" w:lineRule="auto"/>
        <w:jc w:val="both"/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</w:pP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Considerato che gli stessi produttori dichiarano che li mancano fondamentali dati sugli effetti e sulla sicurezza di queste sostanze, nessun medico pu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ò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prescrivere queste sostanze senza violare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gravemente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l’art. 13 Deontologia dei Medici, a meno che l’inoculando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/a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venga pienamente informato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/a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sul difetto degli studi e dati 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e</w:t>
      </w:r>
      <w:r w:rsidR="001A6F3F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, dunque,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presti il suo 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LIBERO (senza coercizione di alcun tipo, p.e. sanzione) e INFORMATO, e dunque, CONSAPEVOLE 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consenso al trattamento con una sostanza per la quale non è stata accertat</w:t>
      </w:r>
      <w:r w:rsidR="00D86867"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>a</w:t>
      </w:r>
      <w:r w:rsidRPr="00EC712B">
        <w:rPr>
          <w:rFonts w:ascii="Arial" w:eastAsia="Times New Roman" w:hAnsi="Arial"/>
          <w:b/>
          <w:bCs/>
          <w:kern w:val="0"/>
          <w:sz w:val="22"/>
          <w:szCs w:val="22"/>
          <w:lang w:eastAsia="en-US" w:bidi="ar-SA"/>
        </w:rPr>
        <w:t xml:space="preserve"> né l’efficacia né la sicurezza.</w:t>
      </w:r>
    </w:p>
    <w:p w:rsidR="005E7F37" w:rsidRPr="00E15D5C" w:rsidRDefault="005E7F37" w:rsidP="005E7F37">
      <w:pPr>
        <w:pStyle w:val="Listenabsatz"/>
        <w:ind w:left="1134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DB5ABC" w:rsidRPr="00E15D5C" w:rsidRDefault="00DB5ABC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  <w:u w:val="single"/>
        </w:rPr>
        <w:t>La prescrizione medica può avvenire esclusivamente per l’utilizzo/efficacia al/la quale la sostanza è stata autorizzata in via condizionata</w:t>
      </w:r>
      <w:r w:rsidRPr="00E15D5C">
        <w:rPr>
          <w:rFonts w:ascii="Arial" w:hAnsi="Arial" w:cs="Arial"/>
          <w:b/>
          <w:bCs/>
          <w:sz w:val="22"/>
          <w:szCs w:val="22"/>
        </w:rPr>
        <w:t>.</w:t>
      </w:r>
    </w:p>
    <w:p w:rsidR="00DB5ABC" w:rsidRPr="00E15D5C" w:rsidRDefault="00DB5ABC" w:rsidP="00DB5ABC">
      <w:pPr>
        <w:pStyle w:val="Listenabsatz"/>
        <w:rPr>
          <w:rFonts w:ascii="Arial" w:hAnsi="Arial" w:cs="Arial"/>
          <w:sz w:val="22"/>
          <w:szCs w:val="22"/>
        </w:rPr>
      </w:pPr>
    </w:p>
    <w:p w:rsidR="00DB5ABC" w:rsidRPr="00DB5ABC" w:rsidRDefault="00DB5ABC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  <w:u w:val="single"/>
        </w:rPr>
        <w:t>Le cinque sostanze attualmente sul mercato quali “vaccini”-Covid-19 sono state autorizzate esclusivamente per la prevenzione della malattia Covid-19 nella persona con esse trattate, ma non per la prevenzione dell’infezione con il virus SARS-CoV-2</w:t>
      </w:r>
      <w:r w:rsidRPr="00E15D5C">
        <w:rPr>
          <w:rFonts w:ascii="Arial" w:hAnsi="Arial" w:cs="Arial"/>
          <w:b/>
          <w:bCs/>
          <w:sz w:val="22"/>
          <w:szCs w:val="22"/>
        </w:rPr>
        <w:t>.</w:t>
      </w:r>
    </w:p>
    <w:p w:rsidR="00DB5ABC" w:rsidRPr="00DB5ABC" w:rsidRDefault="00DB5ABC" w:rsidP="00DB5ABC">
      <w:pPr>
        <w:pStyle w:val="Listenabsatz"/>
        <w:rPr>
          <w:rFonts w:ascii="Arial" w:hAnsi="Arial" w:cs="Arial"/>
          <w:sz w:val="22"/>
          <w:szCs w:val="22"/>
        </w:rPr>
      </w:pPr>
    </w:p>
    <w:p w:rsidR="00DB5ABC" w:rsidRPr="00E15D5C" w:rsidRDefault="00DB5ABC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>Al/la sottoscritto/a è stato</w:t>
      </w:r>
      <w:r w:rsidR="00D86867">
        <w:rPr>
          <w:rFonts w:ascii="Arial" w:hAnsi="Arial" w:cs="Arial"/>
          <w:b/>
          <w:bCs/>
          <w:sz w:val="22"/>
          <w:szCs w:val="22"/>
        </w:rPr>
        <w:t>, invece,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imposto ex D.L. 44/2021 il trattamento per la </w:t>
      </w:r>
      <w:r w:rsidRPr="00E15D5C">
        <w:rPr>
          <w:rFonts w:ascii="Arial" w:hAnsi="Arial" w:cs="Arial"/>
          <w:b/>
          <w:bCs/>
          <w:sz w:val="22"/>
          <w:szCs w:val="22"/>
          <w:u w:val="single"/>
        </w:rPr>
        <w:t>prevenzione dell’infezione con il virus SARS-CoV-2 e non del solo sviluppo della malattia Covid-19</w:t>
      </w:r>
      <w:r w:rsidRPr="00E15D5C">
        <w:rPr>
          <w:rFonts w:ascii="Arial" w:hAnsi="Arial" w:cs="Arial"/>
          <w:b/>
          <w:bCs/>
          <w:sz w:val="22"/>
          <w:szCs w:val="22"/>
        </w:rPr>
        <w:t>.</w:t>
      </w:r>
    </w:p>
    <w:p w:rsidR="00651331" w:rsidRPr="00E15D5C" w:rsidRDefault="00651331" w:rsidP="00651331">
      <w:pPr>
        <w:pStyle w:val="Listenabsatz"/>
        <w:rPr>
          <w:rFonts w:ascii="Arial" w:hAnsi="Arial" w:cs="Arial"/>
          <w:sz w:val="22"/>
          <w:szCs w:val="22"/>
        </w:rPr>
      </w:pPr>
    </w:p>
    <w:p w:rsidR="00651331" w:rsidRPr="00E15D5C" w:rsidRDefault="00651331" w:rsidP="00651331">
      <w:pPr>
        <w:pStyle w:val="Listenabsatz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La 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prescrizione di un farmaco per un utilizzo diverso da quello indicato nella scheda tecnica del farmaco costituisce un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off-label use,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che deve espressamente essere dichiarato alla persona interessata (la quale al riguardo deve dare un esplicito consenso anche sull’off-label use – vedi art. 13 Codice Deontologico dei Medici). </w:t>
      </w:r>
    </w:p>
    <w:p w:rsidR="00651331" w:rsidRPr="00E15D5C" w:rsidRDefault="00651331" w:rsidP="00651331">
      <w:pPr>
        <w:pStyle w:val="Listenabsatz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b/>
          <w:bCs/>
          <w:sz w:val="22"/>
          <w:szCs w:val="22"/>
        </w:rPr>
        <w:t xml:space="preserve">L’irregolare e, dunque, illegittima prescrizione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off-label uso</w:t>
      </w:r>
      <w:r w:rsidRPr="00E15D5C">
        <w:rPr>
          <w:rFonts w:ascii="Arial" w:hAnsi="Arial" w:cs="Arial"/>
          <w:b/>
          <w:bCs/>
          <w:sz w:val="22"/>
          <w:szCs w:val="22"/>
        </w:rPr>
        <w:t xml:space="preserve"> ha nel caso di un farmaco autorizzato solo in via condizionata delle conseguenze giuridiche particolarmente gravi in tema di responsabilità del medico per eventi avversi.</w:t>
      </w:r>
    </w:p>
    <w:p w:rsidR="00651331" w:rsidRPr="00E15D5C" w:rsidRDefault="00651331" w:rsidP="00651331">
      <w:pPr>
        <w:pStyle w:val="Listenabsatz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5E7F37" w:rsidRDefault="00651331" w:rsidP="00DB5AB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La prescrizione medica ad una persona, alla quale viene imposto di assoggettarsi ad un trattamento, per la prevenzione dell’infezione con il virus SARS-CoV-2, con una sostanza che secondo la scheda tecnica non è stata autorizzata per la prevenzione dell’infezione con il virus SARS-CoV-2, costituisce un </w:t>
      </w:r>
      <w:r w:rsidRPr="00E15D5C">
        <w:rPr>
          <w:rFonts w:ascii="Arial" w:hAnsi="Arial" w:cs="Arial"/>
          <w:b/>
          <w:bCs/>
          <w:sz w:val="22"/>
          <w:szCs w:val="22"/>
        </w:rPr>
        <w:t>falso ideologico</w:t>
      </w:r>
      <w:r w:rsidR="002243CF">
        <w:rPr>
          <w:rFonts w:ascii="Arial" w:hAnsi="Arial" w:cs="Arial"/>
          <w:b/>
          <w:bCs/>
          <w:sz w:val="22"/>
          <w:szCs w:val="22"/>
        </w:rPr>
        <w:t xml:space="preserve"> (art. </w:t>
      </w:r>
      <w:r w:rsidR="0002125E">
        <w:rPr>
          <w:rFonts w:ascii="Arial" w:hAnsi="Arial" w:cs="Arial"/>
          <w:b/>
          <w:bCs/>
          <w:sz w:val="22"/>
          <w:szCs w:val="22"/>
        </w:rPr>
        <w:t>479 e segg. c.p.).</w:t>
      </w:r>
    </w:p>
    <w:p w:rsidR="00DB5ABC" w:rsidRPr="00DB5ABC" w:rsidRDefault="00DB5ABC" w:rsidP="00DB5ABC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2125E" w:rsidRDefault="006C0B6B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D</w:t>
      </w:r>
      <w:r w:rsidR="005E7F37" w:rsidRPr="00E15D5C">
        <w:rPr>
          <w:rFonts w:ascii="Arial" w:hAnsi="Arial" w:cs="Arial"/>
          <w:sz w:val="22"/>
          <w:szCs w:val="22"/>
        </w:rPr>
        <w:t xml:space="preserve">alla banca dati 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EudraVigilance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 (</w:t>
      </w:r>
      <w:hyperlink r:id="rId28" w:history="1">
        <w:r w:rsidR="005E7F37" w:rsidRPr="00E15D5C">
          <w:rPr>
            <w:rStyle w:val="Hyperlink"/>
            <w:rFonts w:ascii="Arial" w:hAnsi="Arial" w:cs="Arial"/>
            <w:sz w:val="22"/>
            <w:szCs w:val="22"/>
          </w:rPr>
          <w:t>https://www.adrreports.eu/it/covid19_message.html</w:t>
        </w:r>
      </w:hyperlink>
      <w:r w:rsidR="005E7F37" w:rsidRPr="00E15D5C">
        <w:rPr>
          <w:rFonts w:ascii="Arial" w:hAnsi="Arial" w:cs="Arial"/>
          <w:sz w:val="22"/>
          <w:szCs w:val="22"/>
        </w:rPr>
        <w:t xml:space="preserve">) allo stato risultano segnalazioni per oltre </w:t>
      </w:r>
      <w:r w:rsidR="0002125E">
        <w:rPr>
          <w:rFonts w:ascii="Arial" w:hAnsi="Arial" w:cs="Arial"/>
          <w:sz w:val="22"/>
          <w:szCs w:val="22"/>
        </w:rPr>
        <w:t>23.500</w:t>
      </w:r>
      <w:r w:rsidR="005E7F37" w:rsidRPr="00E15D5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ventitrem</w:t>
      </w:r>
      <w:r w:rsidR="0002125E">
        <w:rPr>
          <w:rFonts w:ascii="Arial" w:hAnsi="Arial" w:cs="Arial"/>
          <w:sz w:val="22"/>
          <w:szCs w:val="22"/>
        </w:rPr>
        <w:t>ilacinquecento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>) morti e in totale per oltre 1.</w:t>
      </w:r>
      <w:r w:rsidR="0002125E">
        <w:rPr>
          <w:rFonts w:ascii="Arial" w:hAnsi="Arial" w:cs="Arial"/>
          <w:sz w:val="22"/>
          <w:szCs w:val="22"/>
        </w:rPr>
        <w:t>650.000</w:t>
      </w:r>
      <w:r w:rsidR="005E7F37" w:rsidRPr="00E15D5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unmilion</w:t>
      </w:r>
      <w:r w:rsidR="0002125E">
        <w:rPr>
          <w:rFonts w:ascii="Arial" w:hAnsi="Arial" w:cs="Arial"/>
          <w:sz w:val="22"/>
          <w:szCs w:val="22"/>
        </w:rPr>
        <w:t>eseicentocinquantamila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) di presunti eventi avversi da inoculazione delle </w:t>
      </w:r>
      <w:r w:rsidR="0002125E">
        <w:rPr>
          <w:rFonts w:ascii="Arial" w:hAnsi="Arial" w:cs="Arial"/>
          <w:sz w:val="22"/>
          <w:szCs w:val="22"/>
        </w:rPr>
        <w:t>cinque</w:t>
      </w:r>
      <w:r w:rsidR="005E7F37" w:rsidRPr="00E15D5C">
        <w:rPr>
          <w:rFonts w:ascii="Arial" w:hAnsi="Arial" w:cs="Arial"/>
          <w:sz w:val="22"/>
          <w:szCs w:val="22"/>
        </w:rPr>
        <w:t xml:space="preserve"> sostanze cosiddetti “vaccini – Covid-19”</w:t>
      </w:r>
      <w:r w:rsidR="0015227D" w:rsidRPr="00E15D5C">
        <w:rPr>
          <w:rFonts w:ascii="Arial" w:hAnsi="Arial" w:cs="Arial"/>
          <w:sz w:val="22"/>
          <w:szCs w:val="22"/>
        </w:rPr>
        <w:t>.</w:t>
      </w:r>
      <w:r w:rsidR="0002125E">
        <w:rPr>
          <w:rFonts w:ascii="Arial" w:hAnsi="Arial" w:cs="Arial"/>
          <w:sz w:val="22"/>
          <w:szCs w:val="22"/>
        </w:rPr>
        <w:t xml:space="preserve"> </w:t>
      </w:r>
    </w:p>
    <w:p w:rsidR="0002125E" w:rsidRPr="0002125E" w:rsidRDefault="0002125E" w:rsidP="0002125E">
      <w:pPr>
        <w:pStyle w:val="Listenabsatz"/>
        <w:rPr>
          <w:rFonts w:ascii="Arial" w:hAnsi="Arial" w:cs="Arial"/>
          <w:sz w:val="22"/>
          <w:szCs w:val="22"/>
        </w:rPr>
      </w:pPr>
    </w:p>
    <w:p w:rsidR="005E7F37" w:rsidRPr="00E15D5C" w:rsidRDefault="0002125E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Italia ci sono già almeno n. 22 morti, per le quali la magistratura ha accertato la causalità nell’inoculazione di queste sostanze. Il numero effettivo </w:t>
      </w:r>
      <w:r w:rsidR="00D86867">
        <w:rPr>
          <w:rFonts w:ascii="Arial" w:hAnsi="Arial" w:cs="Arial"/>
          <w:sz w:val="22"/>
          <w:szCs w:val="22"/>
        </w:rPr>
        <w:t xml:space="preserve">delle morti e </w:t>
      </w:r>
      <w:r w:rsidR="00EC712B">
        <w:rPr>
          <w:rFonts w:ascii="Arial" w:hAnsi="Arial" w:cs="Arial"/>
          <w:sz w:val="22"/>
          <w:szCs w:val="22"/>
        </w:rPr>
        <w:t xml:space="preserve">degli </w:t>
      </w:r>
      <w:r w:rsidR="00D86867">
        <w:rPr>
          <w:rFonts w:ascii="Arial" w:hAnsi="Arial" w:cs="Arial"/>
          <w:sz w:val="22"/>
          <w:szCs w:val="22"/>
        </w:rPr>
        <w:t xml:space="preserve">eventi avversi irreversibili </w:t>
      </w:r>
      <w:r w:rsidR="00EC712B">
        <w:rPr>
          <w:rFonts w:ascii="Arial" w:hAnsi="Arial" w:cs="Arial"/>
          <w:sz w:val="22"/>
          <w:szCs w:val="22"/>
        </w:rPr>
        <w:t xml:space="preserve">è </w:t>
      </w:r>
      <w:r>
        <w:rPr>
          <w:rFonts w:ascii="Arial" w:hAnsi="Arial" w:cs="Arial"/>
          <w:sz w:val="22"/>
          <w:szCs w:val="22"/>
        </w:rPr>
        <w:t>molto più alto per i seguenti motivi.</w:t>
      </w:r>
    </w:p>
    <w:p w:rsidR="005E7F37" w:rsidRPr="00E15D5C" w:rsidRDefault="005E7F37" w:rsidP="005E7F37">
      <w:pPr>
        <w:pStyle w:val="Listenabsatz"/>
        <w:rPr>
          <w:rFonts w:ascii="Arial" w:hAnsi="Arial" w:cs="Arial"/>
          <w:sz w:val="22"/>
          <w:szCs w:val="22"/>
        </w:rPr>
      </w:pPr>
    </w:p>
    <w:p w:rsidR="005E7F37" w:rsidRPr="00E15D5C" w:rsidRDefault="006A7E1A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5E7F37" w:rsidRPr="00E15D5C">
        <w:rPr>
          <w:rFonts w:ascii="Arial" w:hAnsi="Arial" w:cs="Arial"/>
          <w:sz w:val="22"/>
          <w:szCs w:val="22"/>
        </w:rPr>
        <w:t xml:space="preserve">onostante </w:t>
      </w:r>
      <w:r w:rsidR="00EC712B">
        <w:rPr>
          <w:rFonts w:ascii="Arial" w:hAnsi="Arial" w:cs="Arial"/>
          <w:sz w:val="22"/>
          <w:szCs w:val="22"/>
        </w:rPr>
        <w:t xml:space="preserve">che </w:t>
      </w:r>
      <w:r w:rsidR="005E7F37" w:rsidRPr="00E15D5C">
        <w:rPr>
          <w:rFonts w:ascii="Arial" w:hAnsi="Arial" w:cs="Arial"/>
          <w:sz w:val="22"/>
          <w:szCs w:val="22"/>
        </w:rPr>
        <w:t xml:space="preserve">il Regolamento (CE) 507/2006 nel considerando (11) preveda la </w:t>
      </w:r>
      <w:r w:rsidR="005E7F37" w:rsidRPr="00E15D5C">
        <w:rPr>
          <w:rFonts w:ascii="Arial" w:hAnsi="Arial" w:cs="Arial"/>
          <w:b/>
          <w:bCs/>
          <w:sz w:val="22"/>
          <w:szCs w:val="22"/>
        </w:rPr>
        <w:t>necessità di una particolarmente rafforzata farmacovigilanza</w:t>
      </w:r>
      <w:r w:rsidR="005E7F37" w:rsidRPr="00E15D5C">
        <w:rPr>
          <w:rFonts w:ascii="Arial" w:hAnsi="Arial" w:cs="Arial"/>
          <w:sz w:val="22"/>
          <w:szCs w:val="22"/>
        </w:rPr>
        <w:t>, allo stato non esiste alcuna farmacovigilanza attiva e, dunque, i dati degli eventi avversi confluiti nella banca dati ufficiale dell’EMA (</w:t>
      </w:r>
      <w:proofErr w:type="spellStart"/>
      <w:r w:rsidR="005E7F37" w:rsidRPr="00E15D5C">
        <w:rPr>
          <w:rFonts w:ascii="Arial" w:hAnsi="Arial" w:cs="Arial"/>
          <w:sz w:val="22"/>
          <w:szCs w:val="22"/>
        </w:rPr>
        <w:t>EudraVigilance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>) costituiscono soltanto la punta dell’iceberg</w:t>
      </w:r>
      <w:r>
        <w:rPr>
          <w:rFonts w:ascii="Arial" w:hAnsi="Arial" w:cs="Arial"/>
          <w:sz w:val="22"/>
          <w:szCs w:val="22"/>
        </w:rPr>
        <w:t>.</w:t>
      </w:r>
      <w:r w:rsidR="005E7F37" w:rsidRPr="00E15D5C">
        <w:rPr>
          <w:rFonts w:ascii="Arial" w:hAnsi="Arial" w:cs="Arial"/>
          <w:sz w:val="22"/>
          <w:szCs w:val="22"/>
        </w:rPr>
        <w:t xml:space="preserve"> </w:t>
      </w:r>
    </w:p>
    <w:p w:rsidR="005E7F37" w:rsidRPr="00E15D5C" w:rsidRDefault="005E7F37" w:rsidP="005E7F37">
      <w:pPr>
        <w:pStyle w:val="Listenabsatz"/>
        <w:rPr>
          <w:rFonts w:ascii="Arial" w:hAnsi="Arial" w:cs="Arial"/>
          <w:sz w:val="22"/>
          <w:szCs w:val="22"/>
        </w:rPr>
      </w:pPr>
    </w:p>
    <w:p w:rsidR="005E7F37" w:rsidRPr="00E15D5C" w:rsidRDefault="006A7E1A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E7F37" w:rsidRPr="00E15D5C">
        <w:rPr>
          <w:rFonts w:ascii="Arial" w:hAnsi="Arial" w:cs="Arial"/>
          <w:sz w:val="22"/>
          <w:szCs w:val="22"/>
        </w:rPr>
        <w:t>e stesse case farmaceutiche dichiarano che nel caso di mera farmacovigilanza passiva (e non attiva) le segnalazioni di eventi avversi coprono solo tra l’1 e 6 per cento il numero reale degli eventi avversi</w:t>
      </w:r>
      <w:r>
        <w:rPr>
          <w:rFonts w:ascii="Arial" w:hAnsi="Arial" w:cs="Arial"/>
          <w:sz w:val="22"/>
          <w:szCs w:val="22"/>
        </w:rPr>
        <w:t>.</w:t>
      </w:r>
    </w:p>
    <w:p w:rsidR="005E7F37" w:rsidRPr="00E15D5C" w:rsidRDefault="005E7F37" w:rsidP="005E7F37">
      <w:pPr>
        <w:pStyle w:val="Listenabsatz"/>
        <w:rPr>
          <w:rFonts w:ascii="Arial" w:hAnsi="Arial" w:cs="Arial"/>
          <w:sz w:val="22"/>
          <w:szCs w:val="22"/>
        </w:rPr>
      </w:pPr>
    </w:p>
    <w:p w:rsidR="00D86867" w:rsidRDefault="006A7E1A" w:rsidP="005E7F3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="005E7F37" w:rsidRPr="00E15D5C">
        <w:rPr>
          <w:rFonts w:ascii="Arial" w:hAnsi="Arial" w:cs="Arial"/>
          <w:sz w:val="22"/>
          <w:szCs w:val="22"/>
        </w:rPr>
        <w:t xml:space="preserve">omunque già i numeri ufficiali di eventi avversi segnalati, tra cui migliaia di morti e altri gravi eventi avversi (cecità, infarti, miocardite, trombosi cerebrali ecc.) sono una chiara dimostrazione del fatto che </w:t>
      </w:r>
      <w:r w:rsidR="005E7F37" w:rsidRPr="00E15D5C">
        <w:rPr>
          <w:rFonts w:ascii="Arial" w:hAnsi="Arial" w:cs="Arial"/>
          <w:b/>
          <w:bCs/>
          <w:sz w:val="22"/>
          <w:szCs w:val="22"/>
          <w:u w:val="single"/>
        </w:rPr>
        <w:t>queste sostanze</w:t>
      </w:r>
      <w:r w:rsidR="005E7F37" w:rsidRPr="00E15D5C">
        <w:rPr>
          <w:rFonts w:ascii="Arial" w:hAnsi="Arial" w:cs="Arial"/>
          <w:sz w:val="22"/>
          <w:szCs w:val="22"/>
        </w:rPr>
        <w:t xml:space="preserve"> - allo stato ancora in una fase sperimentale (a noi cittadini viene inoculata la stessa identica sostanza che viene inoculata nella sperimentazione principale e nelle sperimentazioni aggiuntive</w:t>
      </w:r>
      <w:r w:rsidR="00EC712B">
        <w:rPr>
          <w:rFonts w:ascii="Arial" w:hAnsi="Arial" w:cs="Arial"/>
          <w:sz w:val="22"/>
          <w:szCs w:val="22"/>
        </w:rPr>
        <w:t xml:space="preserve"> della fase clinica III</w:t>
      </w:r>
      <w:r w:rsidR="005E7F37" w:rsidRPr="00E15D5C">
        <w:rPr>
          <w:rFonts w:ascii="Arial" w:hAnsi="Arial" w:cs="Arial"/>
          <w:sz w:val="22"/>
          <w:szCs w:val="22"/>
        </w:rPr>
        <w:t xml:space="preserve"> in atto!) e per le quali, come risulta da una </w:t>
      </w:r>
      <w:r w:rsidR="005E7F37" w:rsidRPr="00E15D5C">
        <w:rPr>
          <w:rFonts w:ascii="Arial" w:hAnsi="Arial" w:cs="Arial"/>
          <w:b/>
          <w:bCs/>
          <w:sz w:val="22"/>
          <w:szCs w:val="22"/>
        </w:rPr>
        <w:t>risposta confermativa ufficiale dell’EMA</w:t>
      </w:r>
      <w:r w:rsidR="005E7F37" w:rsidRPr="00E15D5C">
        <w:rPr>
          <w:rFonts w:ascii="Arial" w:hAnsi="Arial" w:cs="Arial"/>
          <w:sz w:val="22"/>
          <w:szCs w:val="22"/>
        </w:rPr>
        <w:t xml:space="preserve"> ad un gruppo di scienziati, si ha assolutamente </w:t>
      </w:r>
      <w:r w:rsidR="005E7F37" w:rsidRPr="00E15D5C">
        <w:rPr>
          <w:rFonts w:ascii="Arial" w:hAnsi="Arial" w:cs="Arial"/>
          <w:b/>
          <w:bCs/>
          <w:sz w:val="22"/>
          <w:szCs w:val="22"/>
        </w:rPr>
        <w:t>omesso di fare p.e. studi sulla cancerogenicità</w:t>
      </w:r>
      <w:r w:rsidR="005E7F37" w:rsidRPr="00E15D5C">
        <w:rPr>
          <w:rFonts w:ascii="Arial" w:hAnsi="Arial" w:cs="Arial"/>
          <w:sz w:val="22"/>
          <w:szCs w:val="22"/>
        </w:rPr>
        <w:t xml:space="preserve"> </w:t>
      </w:r>
      <w:r w:rsidR="00EC712B" w:rsidRPr="00EC712B">
        <w:rPr>
          <w:rFonts w:ascii="Arial" w:hAnsi="Arial" w:cs="Arial"/>
          <w:b/>
          <w:bCs/>
          <w:sz w:val="22"/>
          <w:szCs w:val="22"/>
        </w:rPr>
        <w:t xml:space="preserve">e </w:t>
      </w:r>
      <w:proofErr w:type="spellStart"/>
      <w:r w:rsidR="00EC712B" w:rsidRPr="00EC712B">
        <w:rPr>
          <w:rFonts w:ascii="Arial" w:hAnsi="Arial" w:cs="Arial"/>
          <w:b/>
          <w:bCs/>
          <w:sz w:val="22"/>
          <w:szCs w:val="22"/>
        </w:rPr>
        <w:t>mutagenicità</w:t>
      </w:r>
      <w:proofErr w:type="spellEnd"/>
      <w:r w:rsidR="005E7F37" w:rsidRPr="00E15D5C">
        <w:rPr>
          <w:rFonts w:ascii="Arial" w:hAnsi="Arial" w:cs="Arial"/>
          <w:sz w:val="22"/>
          <w:szCs w:val="22"/>
        </w:rPr>
        <w:t xml:space="preserve">– </w:t>
      </w:r>
      <w:r w:rsidR="005E7F37" w:rsidRPr="00E15D5C">
        <w:rPr>
          <w:rFonts w:ascii="Arial" w:hAnsi="Arial" w:cs="Arial"/>
          <w:b/>
          <w:bCs/>
          <w:sz w:val="22"/>
          <w:szCs w:val="22"/>
          <w:u w:val="single"/>
        </w:rPr>
        <w:t>non possono essere considerate “sicure</w:t>
      </w:r>
      <w:r w:rsidR="00D86867">
        <w:rPr>
          <w:rFonts w:ascii="Arial" w:hAnsi="Arial" w:cs="Arial"/>
          <w:b/>
          <w:bCs/>
          <w:sz w:val="22"/>
          <w:szCs w:val="22"/>
          <w:u w:val="single"/>
        </w:rPr>
        <w:t>”.</w:t>
      </w:r>
    </w:p>
    <w:p w:rsidR="00D86867" w:rsidRPr="00D86867" w:rsidRDefault="00D86867" w:rsidP="00D86867">
      <w:pPr>
        <w:pStyle w:val="Listenabsatz"/>
        <w:rPr>
          <w:rFonts w:ascii="Arial" w:hAnsi="Arial" w:cs="Arial"/>
          <w:b/>
          <w:bCs/>
          <w:sz w:val="22"/>
          <w:szCs w:val="22"/>
          <w:u w:val="single"/>
        </w:rPr>
      </w:pPr>
    </w:p>
    <w:p w:rsidR="00D86867" w:rsidRPr="00EC712B" w:rsidRDefault="00D86867" w:rsidP="00E15D5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C712B">
        <w:rPr>
          <w:rFonts w:ascii="Arial" w:hAnsi="Arial" w:cs="Arial"/>
          <w:b/>
          <w:bCs/>
          <w:sz w:val="22"/>
          <w:szCs w:val="22"/>
        </w:rPr>
        <w:t xml:space="preserve">Considerato che </w:t>
      </w:r>
      <w:r w:rsidR="001C5824" w:rsidRPr="00EC712B">
        <w:rPr>
          <w:rFonts w:ascii="Arial" w:hAnsi="Arial" w:cs="Arial"/>
          <w:b/>
          <w:bCs/>
          <w:sz w:val="22"/>
          <w:szCs w:val="22"/>
        </w:rPr>
        <w:t>questi “vaccini”-Covid-19 non hanno alcun effetto di immunizzazione sterile</w:t>
      </w:r>
      <w:r w:rsidRPr="00EC712B">
        <w:rPr>
          <w:rFonts w:ascii="Arial" w:hAnsi="Arial" w:cs="Arial"/>
          <w:b/>
          <w:bCs/>
          <w:sz w:val="22"/>
          <w:szCs w:val="22"/>
        </w:rPr>
        <w:t>, non sono sostanze utili ai fini dell’imposizione di cui al D.L. 44/2021, il quale parla di prevenzione dell’infezione con il virus SARS-CoV-2.</w:t>
      </w:r>
    </w:p>
    <w:p w:rsidR="00D86867" w:rsidRPr="00D86867" w:rsidRDefault="00D86867" w:rsidP="00D86867">
      <w:pPr>
        <w:pStyle w:val="Listenabsatz"/>
        <w:rPr>
          <w:rFonts w:ascii="Arial" w:hAnsi="Arial" w:cs="Arial"/>
          <w:sz w:val="22"/>
          <w:szCs w:val="22"/>
        </w:rPr>
      </w:pPr>
    </w:p>
    <w:p w:rsidR="001C5824" w:rsidRPr="00E15D5C" w:rsidRDefault="001C5824" w:rsidP="001C5824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>La totale irrazionalità e grave illegittimità dell’imposizione del trattamento sperimentale a persone che già hanno sviluppato gli anticorpi per via di una malattia naturale, risultano marcat</w:t>
      </w:r>
      <w:r w:rsidR="005677C7">
        <w:rPr>
          <w:rFonts w:ascii="Arial" w:hAnsi="Arial" w:cs="Arial"/>
          <w:sz w:val="22"/>
          <w:szCs w:val="22"/>
        </w:rPr>
        <w:t>e</w:t>
      </w:r>
      <w:r w:rsidRPr="00E15D5C">
        <w:rPr>
          <w:rFonts w:ascii="Arial" w:hAnsi="Arial" w:cs="Arial"/>
          <w:sz w:val="22"/>
          <w:szCs w:val="22"/>
        </w:rPr>
        <w:t xml:space="preserve"> dal fatto che per i </w:t>
      </w:r>
      <w:r w:rsidR="005677C7">
        <w:rPr>
          <w:rFonts w:ascii="Arial" w:hAnsi="Arial" w:cs="Arial"/>
          <w:sz w:val="22"/>
          <w:szCs w:val="22"/>
        </w:rPr>
        <w:t>“</w:t>
      </w:r>
      <w:r w:rsidRPr="00E15D5C">
        <w:rPr>
          <w:rFonts w:ascii="Arial" w:hAnsi="Arial" w:cs="Arial"/>
          <w:sz w:val="22"/>
          <w:szCs w:val="22"/>
        </w:rPr>
        <w:t>veri vaccini</w:t>
      </w:r>
      <w:r w:rsidR="005677C7">
        <w:rPr>
          <w:rFonts w:ascii="Arial" w:hAnsi="Arial" w:cs="Arial"/>
          <w:sz w:val="22"/>
          <w:szCs w:val="22"/>
        </w:rPr>
        <w:t>”</w:t>
      </w:r>
      <w:r w:rsidRPr="00E15D5C">
        <w:rPr>
          <w:rFonts w:ascii="Arial" w:hAnsi="Arial" w:cs="Arial"/>
          <w:sz w:val="22"/>
          <w:szCs w:val="22"/>
        </w:rPr>
        <w:t xml:space="preserve"> obbligatori il D.L. 7 giugno 2017 n. 73 all’art. 1 comma 2 prevede che </w:t>
      </w:r>
      <w:r w:rsidRPr="00E15D5C">
        <w:rPr>
          <w:rFonts w:ascii="Arial" w:hAnsi="Arial" w:cs="Arial"/>
          <w:b/>
          <w:bCs/>
          <w:i/>
          <w:iCs/>
          <w:sz w:val="22"/>
          <w:szCs w:val="22"/>
        </w:rPr>
        <w:t>“L’avvenuta immunizzazione a seguito di malattia naturale (…comprovata anche dagli esisti dell’analisi sierologica), esonera dall’obbligo della relativa vaccinazione”.</w:t>
      </w:r>
    </w:p>
    <w:p w:rsidR="001C5824" w:rsidRPr="00E15D5C" w:rsidRDefault="001C5824" w:rsidP="001C5824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01903" w:rsidRDefault="00E15D5C" w:rsidP="005677C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5D5C">
        <w:rPr>
          <w:rFonts w:ascii="Arial" w:hAnsi="Arial" w:cs="Arial"/>
          <w:sz w:val="22"/>
          <w:szCs w:val="22"/>
        </w:rPr>
        <w:t xml:space="preserve">La prescrizione medica prevista obbligatoriamente per l’uso di queste sostanze imposte dalla Commissione Europea nelle delibere di autorizzazione condizionata (Allegato II, punto B Condizioni e Limitazioni per l’uso) fa sì che non devono essere i cittadini a dimostrare la presenza nel loro caso di ristrettissime categorie di patologie (stabilite peraltro con un evidente mero “spirito politico” e non medico, considerato il contenuto dei Risk Management Plan dei produttori delle cinque sostanze, vedi sopra), per ottenere un’eventuale esenzione dall’imposizione del trattamento con queste sostanze sperimentali, ma che, invece, </w:t>
      </w:r>
      <w:r w:rsidRPr="00E15D5C">
        <w:rPr>
          <w:rFonts w:ascii="Arial" w:hAnsi="Arial" w:cs="Arial"/>
          <w:b/>
          <w:bCs/>
          <w:sz w:val="22"/>
          <w:szCs w:val="22"/>
        </w:rPr>
        <w:t>deve essere un medico con nome e cognome e numero di iscrizione nell’Ordine dei Medici di appartenenza ad assumersi la piena e personale responsabilità della prescrizione del trattamento con una sosta</w:t>
      </w:r>
      <w:bookmarkStart w:id="0" w:name="_GoBack"/>
      <w:bookmarkEnd w:id="0"/>
      <w:r w:rsidRPr="00E15D5C">
        <w:rPr>
          <w:rFonts w:ascii="Arial" w:hAnsi="Arial" w:cs="Arial"/>
          <w:b/>
          <w:bCs/>
          <w:sz w:val="22"/>
          <w:szCs w:val="22"/>
        </w:rPr>
        <w:t>nza di fatto ancora in uno stadio sperimentale dei cittadini, ai quali il trattamento viene “imposto” con il ricatto e l’estorsione per volontà politica</w:t>
      </w:r>
      <w:r w:rsidRPr="00E15D5C">
        <w:rPr>
          <w:rFonts w:ascii="Arial" w:hAnsi="Arial" w:cs="Arial"/>
          <w:sz w:val="22"/>
          <w:szCs w:val="22"/>
        </w:rPr>
        <w:t>.</w:t>
      </w:r>
    </w:p>
    <w:p w:rsidR="00EC712B" w:rsidRPr="00EC712B" w:rsidRDefault="00EC712B" w:rsidP="00EC712B">
      <w:pPr>
        <w:pStyle w:val="Listenabsatz"/>
        <w:rPr>
          <w:rFonts w:ascii="Arial" w:hAnsi="Arial" w:cs="Arial"/>
          <w:sz w:val="22"/>
          <w:szCs w:val="22"/>
        </w:rPr>
      </w:pPr>
    </w:p>
    <w:p w:rsidR="00EC712B" w:rsidRDefault="00EC712B" w:rsidP="005677C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sottoscritta non è in possesso di una tale prescrizione medica e non presenterebbe mai il </w:t>
      </w:r>
      <w:r w:rsidR="005A5D0C">
        <w:rPr>
          <w:rFonts w:ascii="Arial" w:hAnsi="Arial" w:cs="Arial"/>
          <w:sz w:val="22"/>
          <w:szCs w:val="22"/>
        </w:rPr>
        <w:t xml:space="preserve">proprio </w:t>
      </w:r>
      <w:r>
        <w:rPr>
          <w:rFonts w:ascii="Arial" w:hAnsi="Arial" w:cs="Arial"/>
          <w:sz w:val="22"/>
          <w:szCs w:val="22"/>
        </w:rPr>
        <w:t>consenso alla prescrizione di una di queste sostanze sperimentali, consenso che, invece, anche ai sensi dell’art. 13 Codice Deontologico dei Medici sarebbe imprescindibile ai fini della prescrizione</w:t>
      </w:r>
      <w:r w:rsidR="005A5D0C">
        <w:rPr>
          <w:rFonts w:ascii="Arial" w:hAnsi="Arial" w:cs="Arial"/>
          <w:sz w:val="22"/>
          <w:szCs w:val="22"/>
        </w:rPr>
        <w:t xml:space="preserve"> vista l’autorizzazione solo condizionata e il OFF LABLE USE</w:t>
      </w:r>
      <w:r w:rsidR="00886C1D">
        <w:rPr>
          <w:rFonts w:ascii="Arial" w:hAnsi="Arial" w:cs="Arial"/>
          <w:sz w:val="22"/>
          <w:szCs w:val="22"/>
        </w:rPr>
        <w:t xml:space="preserve"> imposto illegittimamente dalle autorità, destinatarie di questa istanza.</w:t>
      </w:r>
    </w:p>
    <w:p w:rsidR="005A5D0C" w:rsidRPr="005A5D0C" w:rsidRDefault="005A5D0C" w:rsidP="005A5D0C">
      <w:pPr>
        <w:pStyle w:val="Listenabsatz"/>
        <w:rPr>
          <w:rFonts w:ascii="Arial" w:hAnsi="Arial" w:cs="Arial"/>
          <w:sz w:val="22"/>
          <w:szCs w:val="22"/>
        </w:rPr>
      </w:pPr>
    </w:p>
    <w:p w:rsidR="005A5D0C" w:rsidRPr="005A5D0C" w:rsidRDefault="005A5D0C" w:rsidP="005677C7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5D0C">
        <w:rPr>
          <w:rFonts w:ascii="Arial" w:hAnsi="Arial" w:cs="Arial"/>
          <w:b/>
          <w:bCs/>
          <w:sz w:val="22"/>
          <w:szCs w:val="22"/>
        </w:rPr>
        <w:t>Già la mera mancanza della prescrizione medica di una di queste sostanze al/la sottoscritto/a impone ai destinatari di questa istanza di disporre immediatamente l’archiviazione del procedimento sanzionatorio.</w:t>
      </w:r>
    </w:p>
    <w:p w:rsidR="005677C7" w:rsidRPr="005677C7" w:rsidRDefault="005677C7" w:rsidP="005677C7">
      <w:pPr>
        <w:pStyle w:val="Listenabsatz"/>
        <w:rPr>
          <w:rFonts w:ascii="Arial" w:hAnsi="Arial" w:cs="Arial"/>
          <w:sz w:val="22"/>
          <w:szCs w:val="22"/>
        </w:rPr>
      </w:pPr>
    </w:p>
    <w:p w:rsidR="00101903" w:rsidRPr="005677C7" w:rsidRDefault="00101903" w:rsidP="00E15D5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5677C7">
        <w:rPr>
          <w:rFonts w:ascii="Arial" w:hAnsi="Arial" w:cs="Arial"/>
          <w:b/>
          <w:bCs/>
          <w:sz w:val="22"/>
          <w:szCs w:val="22"/>
        </w:rPr>
        <w:t>Legge 22 dicembre 2017 n. 219</w:t>
      </w:r>
      <w:r>
        <w:rPr>
          <w:rFonts w:ascii="Arial" w:hAnsi="Arial" w:cs="Arial"/>
          <w:sz w:val="22"/>
          <w:szCs w:val="22"/>
        </w:rPr>
        <w:t xml:space="preserve"> prevede la necessità di un </w:t>
      </w:r>
      <w:r w:rsidRPr="005677C7">
        <w:rPr>
          <w:rFonts w:ascii="Arial" w:hAnsi="Arial" w:cs="Arial"/>
          <w:b/>
          <w:bCs/>
          <w:sz w:val="22"/>
          <w:szCs w:val="22"/>
        </w:rPr>
        <w:t>consenso LIBERO e INFORMATO</w:t>
      </w:r>
      <w:r w:rsidR="00EC712B">
        <w:rPr>
          <w:rFonts w:ascii="Arial" w:hAnsi="Arial" w:cs="Arial"/>
          <w:b/>
          <w:bCs/>
          <w:sz w:val="22"/>
          <w:szCs w:val="22"/>
        </w:rPr>
        <w:t xml:space="preserve"> </w:t>
      </w:r>
      <w:r w:rsidR="00EC712B" w:rsidRPr="00EC712B">
        <w:rPr>
          <w:rFonts w:ascii="Arial" w:hAnsi="Arial" w:cs="Arial"/>
          <w:sz w:val="22"/>
          <w:szCs w:val="22"/>
        </w:rPr>
        <w:t>ai fini del trattamento sanitario.</w:t>
      </w:r>
    </w:p>
    <w:p w:rsidR="006D2520" w:rsidRPr="006D2520" w:rsidRDefault="006D2520" w:rsidP="006D2520">
      <w:pPr>
        <w:pStyle w:val="Listenabsatz"/>
        <w:rPr>
          <w:rFonts w:ascii="Arial" w:hAnsi="Arial" w:cs="Arial"/>
          <w:sz w:val="22"/>
          <w:szCs w:val="22"/>
        </w:rPr>
      </w:pPr>
    </w:p>
    <w:p w:rsidR="006D2520" w:rsidRPr="002F278F" w:rsidRDefault="006D2520" w:rsidP="00E15D5C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78F">
        <w:rPr>
          <w:rFonts w:ascii="Arial" w:hAnsi="Arial" w:cs="Arial"/>
          <w:b/>
          <w:bCs/>
          <w:sz w:val="22"/>
          <w:szCs w:val="22"/>
        </w:rPr>
        <w:t xml:space="preserve">L’imposizione al/la sottoscritto/a dell’inoculazione di una sostanza di fatto ancora sperimentale </w:t>
      </w:r>
      <w:r w:rsidR="00101903" w:rsidRPr="002F278F">
        <w:rPr>
          <w:rFonts w:ascii="Arial" w:hAnsi="Arial" w:cs="Arial"/>
          <w:b/>
          <w:bCs/>
          <w:sz w:val="22"/>
          <w:szCs w:val="22"/>
        </w:rPr>
        <w:t>viola gli artt. 3, 35 e 38 Carta dei Diritti Fondamentali dell’UE, il Codice di Norimberga, la Dichiarazione di Helsinki, il Regolamento (CE) n. 507/2006, gli artt. 168 e 169 TFUE, l’art. 32 Costituzione e il DM 15 Luglio 1997.</w:t>
      </w:r>
    </w:p>
    <w:p w:rsidR="00101903" w:rsidRPr="00101903" w:rsidRDefault="00101903" w:rsidP="00101903">
      <w:pPr>
        <w:pStyle w:val="Listenabsatz"/>
        <w:rPr>
          <w:rFonts w:ascii="Arial" w:hAnsi="Arial" w:cs="Arial"/>
          <w:sz w:val="22"/>
          <w:szCs w:val="22"/>
        </w:rPr>
      </w:pPr>
    </w:p>
    <w:p w:rsidR="005A5D0C" w:rsidRPr="005A5D0C" w:rsidRDefault="00101903" w:rsidP="0010190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Costituzionale in decenni di giurisprudenza ha ripetutamente confermato che una legge impositiva di un trattamento sanitario è compatibile con l’art. 32 della Costituzione solo </w:t>
      </w:r>
      <w:r w:rsidR="00EC712B">
        <w:rPr>
          <w:rFonts w:ascii="Arial" w:hAnsi="Arial" w:cs="Arial"/>
          <w:sz w:val="22"/>
          <w:szCs w:val="22"/>
        </w:rPr>
        <w:t xml:space="preserve">a condizione che </w:t>
      </w:r>
      <w:r>
        <w:rPr>
          <w:rFonts w:ascii="Arial" w:hAnsi="Arial" w:cs="Arial"/>
          <w:sz w:val="22"/>
          <w:szCs w:val="22"/>
        </w:rPr>
        <w:t xml:space="preserve">vi </w:t>
      </w:r>
      <w:r w:rsidR="00EC712B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 xml:space="preserve"> la </w:t>
      </w:r>
      <w:r w:rsidRPr="002F278F">
        <w:rPr>
          <w:rFonts w:ascii="Arial" w:hAnsi="Arial" w:cs="Arial"/>
          <w:b/>
          <w:bCs/>
          <w:sz w:val="22"/>
          <w:szCs w:val="22"/>
        </w:rPr>
        <w:t xml:space="preserve">ragionevole previsione che il trattamento non incida negativamente sullo stato di salute di colui che vi è assoggettato, salvo che per quelle sole conseguenze, che, per la loro temporaneità e scarsa entità, appaiano normali di ogni intervento sanitario e, pertanto tollerabili. </w:t>
      </w:r>
    </w:p>
    <w:p w:rsidR="00101903" w:rsidRDefault="00101903" w:rsidP="005A5D0C">
      <w:pPr>
        <w:spacing w:line="240" w:lineRule="auto"/>
        <w:ind w:left="709"/>
        <w:jc w:val="both"/>
        <w:rPr>
          <w:rFonts w:ascii="Arial" w:hAnsi="Arial"/>
          <w:b/>
          <w:bCs/>
          <w:sz w:val="22"/>
          <w:szCs w:val="22"/>
        </w:rPr>
      </w:pPr>
      <w:r w:rsidRPr="005A5D0C">
        <w:rPr>
          <w:rFonts w:ascii="Arial" w:hAnsi="Arial"/>
          <w:sz w:val="22"/>
          <w:szCs w:val="22"/>
        </w:rPr>
        <w:t>I casi di morti già accertati nella loro causalità (“vaccino”-Covid-19) dalla magistratura italiana (</w:t>
      </w:r>
      <w:r w:rsidR="00886C1D">
        <w:rPr>
          <w:rFonts w:ascii="Arial" w:hAnsi="Arial"/>
          <w:sz w:val="22"/>
          <w:szCs w:val="22"/>
        </w:rPr>
        <w:t xml:space="preserve">in aggiunta </w:t>
      </w:r>
      <w:r w:rsidRPr="005A5D0C">
        <w:rPr>
          <w:rFonts w:ascii="Arial" w:hAnsi="Arial"/>
          <w:sz w:val="22"/>
          <w:szCs w:val="22"/>
        </w:rPr>
        <w:t xml:space="preserve">ai casi </w:t>
      </w:r>
      <w:r w:rsidR="005A5D0C">
        <w:rPr>
          <w:rFonts w:ascii="Arial" w:hAnsi="Arial"/>
          <w:sz w:val="22"/>
          <w:szCs w:val="22"/>
        </w:rPr>
        <w:t xml:space="preserve">accertati </w:t>
      </w:r>
      <w:r w:rsidRPr="005A5D0C">
        <w:rPr>
          <w:rFonts w:ascii="Arial" w:hAnsi="Arial"/>
          <w:sz w:val="22"/>
          <w:szCs w:val="22"/>
        </w:rPr>
        <w:t>negli altri paesi comunitari) e gli innumerevoli casi di eventi avversi irreversibili</w:t>
      </w:r>
      <w:r w:rsidR="00886C1D">
        <w:rPr>
          <w:rFonts w:ascii="Arial" w:hAnsi="Arial"/>
          <w:sz w:val="22"/>
          <w:szCs w:val="22"/>
        </w:rPr>
        <w:t xml:space="preserve"> </w:t>
      </w:r>
      <w:r w:rsidRPr="005A5D0C">
        <w:rPr>
          <w:rFonts w:ascii="Arial" w:hAnsi="Arial"/>
          <w:sz w:val="22"/>
          <w:szCs w:val="22"/>
        </w:rPr>
        <w:t xml:space="preserve">precludono ex art. 32 Costituzione l’imposizione del trattamento con queste sostanze. Ogni altra conclusione significherebbe una </w:t>
      </w:r>
      <w:r w:rsidRPr="005A5D0C">
        <w:rPr>
          <w:rFonts w:ascii="Arial" w:hAnsi="Arial"/>
          <w:b/>
          <w:bCs/>
          <w:sz w:val="22"/>
          <w:szCs w:val="22"/>
        </w:rPr>
        <w:t>grave violazione dei limiti imposti dal rispetto della persona umana</w:t>
      </w:r>
      <w:r w:rsidR="005A5D0C">
        <w:rPr>
          <w:rFonts w:ascii="Arial" w:hAnsi="Arial"/>
          <w:b/>
          <w:bCs/>
          <w:sz w:val="22"/>
          <w:szCs w:val="22"/>
        </w:rPr>
        <w:t xml:space="preserve"> (art. 32 Costituzione).</w:t>
      </w:r>
    </w:p>
    <w:p w:rsidR="00901A9B" w:rsidRPr="00901A9B" w:rsidRDefault="00901A9B" w:rsidP="00901A9B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01A9B">
        <w:rPr>
          <w:rFonts w:ascii="Arial" w:hAnsi="Arial"/>
          <w:b/>
          <w:bCs/>
          <w:sz w:val="22"/>
          <w:szCs w:val="22"/>
        </w:rPr>
        <w:t xml:space="preserve">Ovviamente l’imposizione agli over 50 del trattamento con queste sostanze è </w:t>
      </w:r>
      <w:proofErr w:type="spellStart"/>
      <w:r w:rsidRPr="00901A9B">
        <w:rPr>
          <w:rFonts w:ascii="Arial" w:hAnsi="Arial"/>
          <w:b/>
          <w:bCs/>
          <w:i/>
          <w:iCs/>
          <w:sz w:val="22"/>
          <w:szCs w:val="22"/>
        </w:rPr>
        <w:t>ictu</w:t>
      </w:r>
      <w:proofErr w:type="spellEnd"/>
      <w:r w:rsidRPr="00901A9B">
        <w:rPr>
          <w:rFonts w:ascii="Arial" w:hAnsi="Arial"/>
          <w:b/>
          <w:bCs/>
          <w:i/>
          <w:iCs/>
          <w:sz w:val="22"/>
          <w:szCs w:val="22"/>
        </w:rPr>
        <w:t xml:space="preserve"> oculi</w:t>
      </w:r>
      <w:r w:rsidRPr="00901A9B">
        <w:rPr>
          <w:rFonts w:ascii="Arial" w:hAnsi="Arial"/>
          <w:b/>
          <w:bCs/>
          <w:sz w:val="22"/>
          <w:szCs w:val="22"/>
        </w:rPr>
        <w:t xml:space="preserve"> discriminatorio perché non c’è alcun</w:t>
      </w:r>
      <w:r>
        <w:rPr>
          <w:rFonts w:ascii="Arial" w:hAnsi="Arial"/>
          <w:b/>
          <w:bCs/>
          <w:sz w:val="22"/>
          <w:szCs w:val="22"/>
        </w:rPr>
        <w:t xml:space="preserve"> ragionamento sensato che possa giustificare il differente trattamento di un 48enne rispetto ad un over 50 (violazione dell’art. 3 Cost., artt. 20 e 21 Carta dei Diritti Fondamentali dell’UE).</w:t>
      </w:r>
    </w:p>
    <w:p w:rsidR="00901A9B" w:rsidRPr="00901A9B" w:rsidRDefault="00901A9B" w:rsidP="00901A9B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101903" w:rsidRDefault="001A6F3F" w:rsidP="00101903">
      <w:pPr>
        <w:pStyle w:val="Listenabsatz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Tutti coloro </w:t>
      </w:r>
      <w:r w:rsidR="00101903">
        <w:rPr>
          <w:rFonts w:ascii="Arial" w:hAnsi="Arial" w:cs="Arial"/>
          <w:sz w:val="22"/>
          <w:szCs w:val="22"/>
        </w:rPr>
        <w:t xml:space="preserve">che, nonostante essere </w:t>
      </w:r>
      <w:r w:rsidR="005A5D0C">
        <w:rPr>
          <w:rFonts w:ascii="Arial" w:hAnsi="Arial" w:cs="Arial"/>
          <w:sz w:val="22"/>
          <w:szCs w:val="22"/>
        </w:rPr>
        <w:t xml:space="preserve">stati </w:t>
      </w:r>
      <w:r w:rsidR="00101903">
        <w:rPr>
          <w:rFonts w:ascii="Arial" w:hAnsi="Arial" w:cs="Arial"/>
          <w:sz w:val="22"/>
          <w:szCs w:val="22"/>
        </w:rPr>
        <w:t>informati</w:t>
      </w:r>
      <w:r w:rsidR="00D459B3">
        <w:rPr>
          <w:rFonts w:ascii="Arial" w:hAnsi="Arial" w:cs="Arial"/>
          <w:sz w:val="22"/>
          <w:szCs w:val="22"/>
        </w:rPr>
        <w:t xml:space="preserve"> di tutto quanto sopra esposto, insistano nella procedura avviata nei confronti del/la</w:t>
      </w:r>
      <w:r w:rsidR="002F278F">
        <w:rPr>
          <w:rFonts w:ascii="Arial" w:hAnsi="Arial" w:cs="Arial"/>
          <w:sz w:val="22"/>
          <w:szCs w:val="22"/>
        </w:rPr>
        <w:t xml:space="preserve"> </w:t>
      </w:r>
      <w:r w:rsidR="00D459B3">
        <w:rPr>
          <w:rFonts w:ascii="Arial" w:hAnsi="Arial" w:cs="Arial"/>
          <w:sz w:val="22"/>
          <w:szCs w:val="22"/>
        </w:rPr>
        <w:t xml:space="preserve">sottoscritto/a commettono </w:t>
      </w:r>
      <w:r>
        <w:rPr>
          <w:rFonts w:ascii="Arial" w:hAnsi="Arial" w:cs="Arial"/>
          <w:sz w:val="22"/>
          <w:szCs w:val="22"/>
        </w:rPr>
        <w:t xml:space="preserve">gravi </w:t>
      </w:r>
      <w:r w:rsidR="00D459B3">
        <w:rPr>
          <w:rFonts w:ascii="Arial" w:hAnsi="Arial" w:cs="Arial"/>
          <w:sz w:val="22"/>
          <w:szCs w:val="22"/>
        </w:rPr>
        <w:t>reat</w:t>
      </w:r>
      <w:r>
        <w:rPr>
          <w:rFonts w:ascii="Arial" w:hAnsi="Arial" w:cs="Arial"/>
          <w:sz w:val="22"/>
          <w:szCs w:val="22"/>
        </w:rPr>
        <w:t>i, tra i qual</w:t>
      </w:r>
      <w:r w:rsidR="00D459B3">
        <w:rPr>
          <w:rFonts w:ascii="Arial" w:hAnsi="Arial" w:cs="Arial"/>
          <w:sz w:val="22"/>
          <w:szCs w:val="22"/>
        </w:rPr>
        <w:t>i:</w:t>
      </w:r>
    </w:p>
    <w:p w:rsidR="00D459B3" w:rsidRPr="00D459B3" w:rsidRDefault="00D459B3" w:rsidP="00D459B3">
      <w:pPr>
        <w:pStyle w:val="Listenabsatz"/>
        <w:rPr>
          <w:rFonts w:ascii="Arial" w:hAnsi="Arial" w:cs="Arial"/>
          <w:sz w:val="22"/>
          <w:szCs w:val="22"/>
        </w:rPr>
      </w:pPr>
    </w:p>
    <w:p w:rsidR="00D459B3" w:rsidRPr="00C703C5" w:rsidRDefault="00D459B3" w:rsidP="00C703C5">
      <w:pPr>
        <w:pStyle w:val="Listenabsatz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F278F">
        <w:rPr>
          <w:rFonts w:ascii="Arial" w:hAnsi="Arial" w:cs="Arial"/>
          <w:b/>
          <w:bCs/>
          <w:sz w:val="22"/>
          <w:szCs w:val="22"/>
        </w:rPr>
        <w:t>falso ideologico (art. 479 e segg. c.p.)</w:t>
      </w:r>
      <w:r w:rsidR="00C703C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03C5">
        <w:rPr>
          <w:rFonts w:ascii="Arial" w:hAnsi="Arial" w:cs="Arial"/>
          <w:b/>
          <w:bCs/>
          <w:sz w:val="22"/>
          <w:szCs w:val="22"/>
        </w:rPr>
        <w:t>tentato omicidio (artt. 575 e 56 c.p.) e tentate lesioni personali (artt. 582 e 56 c.p.)</w:t>
      </w:r>
      <w:r w:rsidR="001A6F3F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03C5">
        <w:rPr>
          <w:rFonts w:ascii="Arial" w:hAnsi="Arial" w:cs="Arial"/>
          <w:b/>
          <w:bCs/>
          <w:sz w:val="22"/>
          <w:szCs w:val="22"/>
        </w:rPr>
        <w:t>violenza privata (art. 610 c.p.)</w:t>
      </w:r>
      <w:r w:rsidR="00C703C5" w:rsidRPr="00C703C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703C5">
        <w:rPr>
          <w:rFonts w:ascii="Arial" w:hAnsi="Arial" w:cs="Arial"/>
          <w:b/>
          <w:bCs/>
          <w:sz w:val="22"/>
          <w:szCs w:val="22"/>
        </w:rPr>
        <w:t>estorsione (art. 629 c.p.)</w:t>
      </w:r>
      <w:r w:rsidR="001A6F3F">
        <w:rPr>
          <w:rFonts w:ascii="Arial" w:hAnsi="Arial" w:cs="Arial"/>
          <w:b/>
          <w:bCs/>
          <w:sz w:val="22"/>
          <w:szCs w:val="22"/>
        </w:rPr>
        <w:t xml:space="preserve"> e</w:t>
      </w:r>
      <w:r w:rsidR="00C703C5" w:rsidRPr="00C703C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03C5">
        <w:rPr>
          <w:rFonts w:ascii="Arial" w:hAnsi="Arial" w:cs="Arial"/>
          <w:b/>
          <w:bCs/>
          <w:sz w:val="22"/>
          <w:szCs w:val="22"/>
        </w:rPr>
        <w:t>minaccia (art. 612 c.p.)</w:t>
      </w:r>
    </w:p>
    <w:p w:rsidR="00D459B3" w:rsidRDefault="00D459B3" w:rsidP="00D459B3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D459B3" w:rsidRDefault="00D459B3" w:rsidP="00D459B3">
      <w:pPr>
        <w:pStyle w:val="Listenabsatz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nel caso di mancato accoglimento di questa istanza di autotutela presenterà denuncia penale nei confronti dei responsabili, in primis dei destinatari di questa istanza.</w:t>
      </w:r>
    </w:p>
    <w:p w:rsidR="005E7F37" w:rsidRPr="00B52025" w:rsidRDefault="005E7F37" w:rsidP="002F278F">
      <w:pPr>
        <w:spacing w:line="240" w:lineRule="auto"/>
        <w:ind w:left="426"/>
        <w:jc w:val="both"/>
        <w:rPr>
          <w:rFonts w:ascii="Arial" w:hAnsi="Arial"/>
          <w:b/>
          <w:bCs/>
          <w:sz w:val="22"/>
          <w:szCs w:val="22"/>
        </w:rPr>
      </w:pPr>
      <w:r w:rsidRPr="00B52025">
        <w:rPr>
          <w:rFonts w:ascii="Arial" w:hAnsi="Arial"/>
          <w:b/>
          <w:bCs/>
          <w:sz w:val="22"/>
          <w:szCs w:val="22"/>
        </w:rPr>
        <w:t xml:space="preserve">Tanto premesso, il/la sottoscritto/a, </w:t>
      </w:r>
      <w:r w:rsidR="001A6F3F">
        <w:rPr>
          <w:rFonts w:ascii="Arial" w:hAnsi="Arial"/>
          <w:b/>
          <w:bCs/>
          <w:sz w:val="22"/>
          <w:szCs w:val="22"/>
        </w:rPr>
        <w:t>con ampia riserva di ogni utile azione legale</w:t>
      </w:r>
    </w:p>
    <w:p w:rsidR="00D459B3" w:rsidRPr="00B52025" w:rsidRDefault="005E7F37" w:rsidP="00325DF9">
      <w:pPr>
        <w:spacing w:line="240" w:lineRule="auto"/>
        <w:jc w:val="center"/>
        <w:rPr>
          <w:rFonts w:ascii="Arial" w:hAnsi="Arial"/>
          <w:b/>
          <w:bCs/>
          <w:sz w:val="22"/>
          <w:szCs w:val="22"/>
        </w:rPr>
      </w:pPr>
      <w:r w:rsidRPr="00B52025">
        <w:rPr>
          <w:rFonts w:ascii="Arial" w:hAnsi="Arial"/>
          <w:b/>
          <w:bCs/>
          <w:sz w:val="22"/>
          <w:szCs w:val="22"/>
        </w:rPr>
        <w:t>CHIEDE</w:t>
      </w:r>
      <w:r w:rsidR="00325DF9">
        <w:rPr>
          <w:rFonts w:ascii="Arial" w:hAnsi="Arial"/>
          <w:b/>
          <w:bCs/>
          <w:sz w:val="22"/>
          <w:szCs w:val="22"/>
        </w:rPr>
        <w:t xml:space="preserve"> </w:t>
      </w:r>
    </w:p>
    <w:p w:rsidR="00B52025" w:rsidRPr="00B52025" w:rsidRDefault="00B52025" w:rsidP="002F278F">
      <w:pPr>
        <w:spacing w:line="240" w:lineRule="auto"/>
        <w:ind w:left="426"/>
        <w:jc w:val="both"/>
        <w:rPr>
          <w:rFonts w:ascii="Arial" w:hAnsi="Arial"/>
          <w:sz w:val="22"/>
          <w:szCs w:val="22"/>
        </w:rPr>
      </w:pPr>
      <w:r w:rsidRPr="00B52025">
        <w:rPr>
          <w:rFonts w:ascii="Arial" w:hAnsi="Arial"/>
          <w:b/>
          <w:bCs/>
          <w:sz w:val="22"/>
          <w:szCs w:val="22"/>
        </w:rPr>
        <w:t>l’archiviazione del procedimento sanzionatorio</w:t>
      </w:r>
      <w:r w:rsidRPr="00B52025">
        <w:rPr>
          <w:rFonts w:ascii="Arial" w:hAnsi="Arial"/>
          <w:sz w:val="22"/>
          <w:szCs w:val="22"/>
        </w:rPr>
        <w:t>.</w:t>
      </w:r>
    </w:p>
    <w:p w:rsidR="006A7E1A" w:rsidRPr="00D459B3" w:rsidRDefault="006A7E1A" w:rsidP="002F278F">
      <w:pPr>
        <w:spacing w:line="240" w:lineRule="auto"/>
        <w:ind w:left="426"/>
        <w:rPr>
          <w:rFonts w:ascii="Arial" w:hAnsi="Arial"/>
          <w:i/>
          <w:iCs/>
          <w:sz w:val="22"/>
          <w:szCs w:val="22"/>
          <w:highlight w:val="yellow"/>
        </w:rPr>
      </w:pPr>
      <w:r w:rsidRPr="00D459B3">
        <w:rPr>
          <w:rFonts w:ascii="Arial" w:hAnsi="Arial"/>
          <w:i/>
          <w:iCs/>
          <w:sz w:val="22"/>
          <w:szCs w:val="22"/>
          <w:highlight w:val="yellow"/>
        </w:rPr>
        <w:t>Luogo/data</w:t>
      </w:r>
    </w:p>
    <w:p w:rsidR="006A7E1A" w:rsidRPr="006A7E1A" w:rsidRDefault="006A7E1A" w:rsidP="00A96870">
      <w:pPr>
        <w:spacing w:line="240" w:lineRule="auto"/>
        <w:rPr>
          <w:rFonts w:ascii="Arial" w:hAnsi="Arial"/>
          <w:i/>
          <w:iCs/>
          <w:sz w:val="22"/>
          <w:szCs w:val="22"/>
          <w:highlight w:val="yellow"/>
        </w:rPr>
      </w:pPr>
    </w:p>
    <w:p w:rsidR="006A7E1A" w:rsidRPr="006A7E1A" w:rsidRDefault="006A7E1A" w:rsidP="005A5D0C">
      <w:pPr>
        <w:spacing w:line="240" w:lineRule="auto"/>
        <w:ind w:left="426"/>
        <w:rPr>
          <w:rFonts w:ascii="Arial" w:hAnsi="Arial"/>
          <w:i/>
          <w:iCs/>
          <w:sz w:val="22"/>
          <w:szCs w:val="22"/>
        </w:rPr>
      </w:pPr>
      <w:r w:rsidRPr="006A7E1A">
        <w:rPr>
          <w:rFonts w:ascii="Arial" w:hAnsi="Arial"/>
          <w:i/>
          <w:iCs/>
          <w:sz w:val="22"/>
          <w:szCs w:val="22"/>
          <w:highlight w:val="yellow"/>
        </w:rPr>
        <w:t>Firma</w:t>
      </w:r>
    </w:p>
    <w:sectPr w:rsidR="006A7E1A" w:rsidRPr="006A7E1A">
      <w:footerReference w:type="defaul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00" w:rsidRDefault="00194600" w:rsidP="00194600">
      <w:pPr>
        <w:spacing w:after="0" w:line="240" w:lineRule="auto"/>
      </w:pPr>
      <w:r>
        <w:separator/>
      </w:r>
    </w:p>
  </w:endnote>
  <w:endnote w:type="continuationSeparator" w:id="0">
    <w:p w:rsidR="00194600" w:rsidRDefault="00194600" w:rsidP="0019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396746"/>
      <w:docPartObj>
        <w:docPartGallery w:val="Page Numbers (Bottom of Page)"/>
        <w:docPartUnique/>
      </w:docPartObj>
    </w:sdtPr>
    <w:sdtEndPr/>
    <w:sdtContent>
      <w:p w:rsidR="00194600" w:rsidRDefault="001946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194600" w:rsidRDefault="001946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00" w:rsidRDefault="00194600" w:rsidP="00194600">
      <w:pPr>
        <w:spacing w:after="0" w:line="240" w:lineRule="auto"/>
      </w:pPr>
      <w:r>
        <w:separator/>
      </w:r>
    </w:p>
  </w:footnote>
  <w:footnote w:type="continuationSeparator" w:id="0">
    <w:p w:rsidR="00194600" w:rsidRDefault="00194600" w:rsidP="00194600">
      <w:pPr>
        <w:spacing w:after="0" w:line="240" w:lineRule="auto"/>
      </w:pPr>
      <w:r>
        <w:continuationSeparator/>
      </w:r>
    </w:p>
  </w:footnote>
  <w:footnote w:id="1">
    <w:p w:rsidR="005E7F37" w:rsidRPr="00BA0504" w:rsidRDefault="005E7F37" w:rsidP="003072A9">
      <w:pPr>
        <w:pStyle w:val="Funotentext"/>
        <w:jc w:val="both"/>
        <w:rPr>
          <w:rFonts w:ascii="Arial" w:hAnsi="Arial" w:cs="Arial"/>
          <w:sz w:val="22"/>
          <w:szCs w:val="22"/>
        </w:rPr>
      </w:pPr>
      <w:r w:rsidRPr="00BA0504">
        <w:rPr>
          <w:rStyle w:val="Funotenzeichen"/>
          <w:rFonts w:ascii="Arial" w:hAnsi="Arial" w:cs="Arial"/>
          <w:sz w:val="22"/>
          <w:szCs w:val="22"/>
        </w:rPr>
        <w:footnoteRef/>
      </w:r>
      <w:r w:rsidRPr="00BA0504">
        <w:rPr>
          <w:rFonts w:ascii="Arial" w:hAnsi="Arial" w:cs="Arial"/>
          <w:sz w:val="22"/>
          <w:szCs w:val="22"/>
        </w:rPr>
        <w:t xml:space="preserve"> Da mesi ormai sono i fatti </w:t>
      </w:r>
      <w:r w:rsidR="003072A9">
        <w:rPr>
          <w:rFonts w:ascii="Arial" w:hAnsi="Arial" w:cs="Arial"/>
          <w:sz w:val="22"/>
          <w:szCs w:val="22"/>
        </w:rPr>
        <w:t xml:space="preserve">che giorno dopo giorno </w:t>
      </w:r>
      <w:r w:rsidRPr="00BA0504">
        <w:rPr>
          <w:rFonts w:ascii="Arial" w:hAnsi="Arial" w:cs="Arial"/>
          <w:sz w:val="22"/>
          <w:szCs w:val="22"/>
        </w:rPr>
        <w:t>dimostrano che i “vaccinati” si infettano</w:t>
      </w:r>
      <w:r w:rsidR="003072A9">
        <w:rPr>
          <w:rFonts w:ascii="Arial" w:hAnsi="Arial" w:cs="Arial"/>
          <w:sz w:val="22"/>
          <w:szCs w:val="22"/>
        </w:rPr>
        <w:t xml:space="preserve">, si ammalano </w:t>
      </w:r>
      <w:r w:rsidRPr="00BA0504">
        <w:rPr>
          <w:rFonts w:ascii="Arial" w:hAnsi="Arial" w:cs="Arial"/>
          <w:sz w:val="22"/>
          <w:szCs w:val="22"/>
        </w:rPr>
        <w:t>e trasmettono il virus</w:t>
      </w:r>
      <w:r w:rsidR="003072A9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BC1"/>
    <w:multiLevelType w:val="hybridMultilevel"/>
    <w:tmpl w:val="1EE6C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B1A"/>
    <w:multiLevelType w:val="hybridMultilevel"/>
    <w:tmpl w:val="4E1278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A85"/>
    <w:multiLevelType w:val="hybridMultilevel"/>
    <w:tmpl w:val="154433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B00"/>
    <w:multiLevelType w:val="hybridMultilevel"/>
    <w:tmpl w:val="0C64D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1F4"/>
    <w:multiLevelType w:val="hybridMultilevel"/>
    <w:tmpl w:val="575844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66E5D"/>
    <w:multiLevelType w:val="hybridMultilevel"/>
    <w:tmpl w:val="5E7AC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04FC"/>
    <w:multiLevelType w:val="hybridMultilevel"/>
    <w:tmpl w:val="F4B09C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048EC"/>
    <w:multiLevelType w:val="hybridMultilevel"/>
    <w:tmpl w:val="73AAD9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508E"/>
    <w:multiLevelType w:val="hybridMultilevel"/>
    <w:tmpl w:val="1A22E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217BC"/>
    <w:multiLevelType w:val="hybridMultilevel"/>
    <w:tmpl w:val="46BCF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C1D0C"/>
    <w:multiLevelType w:val="hybridMultilevel"/>
    <w:tmpl w:val="8FB0C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B4FA8"/>
    <w:multiLevelType w:val="hybridMultilevel"/>
    <w:tmpl w:val="F9E8FF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4303D"/>
    <w:multiLevelType w:val="hybridMultilevel"/>
    <w:tmpl w:val="A686F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0D54"/>
    <w:multiLevelType w:val="hybridMultilevel"/>
    <w:tmpl w:val="1C7037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6292C"/>
    <w:multiLevelType w:val="hybridMultilevel"/>
    <w:tmpl w:val="90F475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03548"/>
    <w:multiLevelType w:val="hybridMultilevel"/>
    <w:tmpl w:val="6CF8F9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879DC"/>
    <w:multiLevelType w:val="hybridMultilevel"/>
    <w:tmpl w:val="5BE6FB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D5749"/>
    <w:multiLevelType w:val="hybridMultilevel"/>
    <w:tmpl w:val="9BE898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91989"/>
    <w:multiLevelType w:val="hybridMultilevel"/>
    <w:tmpl w:val="51B042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A25B3"/>
    <w:multiLevelType w:val="hybridMultilevel"/>
    <w:tmpl w:val="D7F45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30B6"/>
    <w:multiLevelType w:val="hybridMultilevel"/>
    <w:tmpl w:val="0B46D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9"/>
  </w:num>
  <w:num w:numId="5">
    <w:abstractNumId w:val="6"/>
  </w:num>
  <w:num w:numId="6">
    <w:abstractNumId w:val="1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17"/>
  </w:num>
  <w:num w:numId="14">
    <w:abstractNumId w:val="13"/>
  </w:num>
  <w:num w:numId="15">
    <w:abstractNumId w:val="0"/>
  </w:num>
  <w:num w:numId="16">
    <w:abstractNumId w:val="8"/>
  </w:num>
  <w:num w:numId="17">
    <w:abstractNumId w:val="2"/>
  </w:num>
  <w:num w:numId="18">
    <w:abstractNumId w:val="9"/>
  </w:num>
  <w:num w:numId="19">
    <w:abstractNumId w:val="18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4E"/>
    <w:rsid w:val="0000626F"/>
    <w:rsid w:val="0002125E"/>
    <w:rsid w:val="000230C9"/>
    <w:rsid w:val="00061906"/>
    <w:rsid w:val="000624F6"/>
    <w:rsid w:val="00084808"/>
    <w:rsid w:val="00087F70"/>
    <w:rsid w:val="000C3919"/>
    <w:rsid w:val="000D1A2A"/>
    <w:rsid w:val="000D1B18"/>
    <w:rsid w:val="000F0515"/>
    <w:rsid w:val="00101903"/>
    <w:rsid w:val="00104901"/>
    <w:rsid w:val="00121F7D"/>
    <w:rsid w:val="001247D2"/>
    <w:rsid w:val="0015227D"/>
    <w:rsid w:val="00163355"/>
    <w:rsid w:val="00187674"/>
    <w:rsid w:val="00194600"/>
    <w:rsid w:val="001A6F3F"/>
    <w:rsid w:val="001B262B"/>
    <w:rsid w:val="001C5824"/>
    <w:rsid w:val="001C6463"/>
    <w:rsid w:val="001D1E26"/>
    <w:rsid w:val="001E41FD"/>
    <w:rsid w:val="002170BC"/>
    <w:rsid w:val="002243CF"/>
    <w:rsid w:val="0023696F"/>
    <w:rsid w:val="0025700C"/>
    <w:rsid w:val="002D0D11"/>
    <w:rsid w:val="002F0D22"/>
    <w:rsid w:val="002F278F"/>
    <w:rsid w:val="00301FD1"/>
    <w:rsid w:val="003072A9"/>
    <w:rsid w:val="00325DF9"/>
    <w:rsid w:val="00331B31"/>
    <w:rsid w:val="00361CB7"/>
    <w:rsid w:val="003B7C4D"/>
    <w:rsid w:val="003C2F90"/>
    <w:rsid w:val="003D499C"/>
    <w:rsid w:val="003E3F1E"/>
    <w:rsid w:val="003E5FCF"/>
    <w:rsid w:val="003F1B01"/>
    <w:rsid w:val="0040371C"/>
    <w:rsid w:val="00407FEC"/>
    <w:rsid w:val="00410102"/>
    <w:rsid w:val="00417798"/>
    <w:rsid w:val="004222E6"/>
    <w:rsid w:val="00434400"/>
    <w:rsid w:val="00480524"/>
    <w:rsid w:val="004A46A9"/>
    <w:rsid w:val="004E317F"/>
    <w:rsid w:val="004E5F0C"/>
    <w:rsid w:val="004E7417"/>
    <w:rsid w:val="004F3083"/>
    <w:rsid w:val="00500484"/>
    <w:rsid w:val="0050101E"/>
    <w:rsid w:val="005031B2"/>
    <w:rsid w:val="00516526"/>
    <w:rsid w:val="00532BF0"/>
    <w:rsid w:val="0053521C"/>
    <w:rsid w:val="00546B14"/>
    <w:rsid w:val="005677C7"/>
    <w:rsid w:val="005A5D0C"/>
    <w:rsid w:val="005E2DF4"/>
    <w:rsid w:val="005E56BB"/>
    <w:rsid w:val="005E7F37"/>
    <w:rsid w:val="00601BE7"/>
    <w:rsid w:val="00613B47"/>
    <w:rsid w:val="00614E3B"/>
    <w:rsid w:val="00632B47"/>
    <w:rsid w:val="00651331"/>
    <w:rsid w:val="00661B41"/>
    <w:rsid w:val="00663892"/>
    <w:rsid w:val="00694297"/>
    <w:rsid w:val="006A77A4"/>
    <w:rsid w:val="006A7E1A"/>
    <w:rsid w:val="006B473F"/>
    <w:rsid w:val="006C0B6B"/>
    <w:rsid w:val="006D2520"/>
    <w:rsid w:val="00713AB6"/>
    <w:rsid w:val="00715521"/>
    <w:rsid w:val="007212E3"/>
    <w:rsid w:val="007416F9"/>
    <w:rsid w:val="00763C37"/>
    <w:rsid w:val="00781011"/>
    <w:rsid w:val="0078425B"/>
    <w:rsid w:val="007A0C5C"/>
    <w:rsid w:val="007C7277"/>
    <w:rsid w:val="007E027F"/>
    <w:rsid w:val="007E5F81"/>
    <w:rsid w:val="007F3D43"/>
    <w:rsid w:val="008066E9"/>
    <w:rsid w:val="00827D70"/>
    <w:rsid w:val="00855F4E"/>
    <w:rsid w:val="00867813"/>
    <w:rsid w:val="00873640"/>
    <w:rsid w:val="008862A7"/>
    <w:rsid w:val="00886C1D"/>
    <w:rsid w:val="008A7D3A"/>
    <w:rsid w:val="008E1A66"/>
    <w:rsid w:val="008E53F2"/>
    <w:rsid w:val="008F609D"/>
    <w:rsid w:val="00901A9B"/>
    <w:rsid w:val="00931429"/>
    <w:rsid w:val="0094730F"/>
    <w:rsid w:val="00970AEF"/>
    <w:rsid w:val="009A0297"/>
    <w:rsid w:val="009C59C7"/>
    <w:rsid w:val="009C7BD0"/>
    <w:rsid w:val="009F68A4"/>
    <w:rsid w:val="00A013DB"/>
    <w:rsid w:val="00A115D3"/>
    <w:rsid w:val="00A15D86"/>
    <w:rsid w:val="00A23DC3"/>
    <w:rsid w:val="00A61FF7"/>
    <w:rsid w:val="00A9023B"/>
    <w:rsid w:val="00A96870"/>
    <w:rsid w:val="00AA5541"/>
    <w:rsid w:val="00AD3B59"/>
    <w:rsid w:val="00AD5580"/>
    <w:rsid w:val="00AF5C85"/>
    <w:rsid w:val="00B0220C"/>
    <w:rsid w:val="00B063A6"/>
    <w:rsid w:val="00B06F5D"/>
    <w:rsid w:val="00B52025"/>
    <w:rsid w:val="00B5563C"/>
    <w:rsid w:val="00B56C38"/>
    <w:rsid w:val="00B615C3"/>
    <w:rsid w:val="00B639E2"/>
    <w:rsid w:val="00BA0504"/>
    <w:rsid w:val="00BA0F31"/>
    <w:rsid w:val="00BC2276"/>
    <w:rsid w:val="00BE54D9"/>
    <w:rsid w:val="00BF2F69"/>
    <w:rsid w:val="00C10E89"/>
    <w:rsid w:val="00C407CB"/>
    <w:rsid w:val="00C6271D"/>
    <w:rsid w:val="00C652EE"/>
    <w:rsid w:val="00C703C5"/>
    <w:rsid w:val="00C86947"/>
    <w:rsid w:val="00CC17CF"/>
    <w:rsid w:val="00CE1FB0"/>
    <w:rsid w:val="00D04AD5"/>
    <w:rsid w:val="00D37DDC"/>
    <w:rsid w:val="00D459B3"/>
    <w:rsid w:val="00D500E8"/>
    <w:rsid w:val="00D7524D"/>
    <w:rsid w:val="00D76715"/>
    <w:rsid w:val="00D86867"/>
    <w:rsid w:val="00D9661F"/>
    <w:rsid w:val="00DB5ABC"/>
    <w:rsid w:val="00DB766F"/>
    <w:rsid w:val="00DF32D7"/>
    <w:rsid w:val="00E06898"/>
    <w:rsid w:val="00E11140"/>
    <w:rsid w:val="00E15D5C"/>
    <w:rsid w:val="00E17E96"/>
    <w:rsid w:val="00E21F4B"/>
    <w:rsid w:val="00E34A0C"/>
    <w:rsid w:val="00E94B1A"/>
    <w:rsid w:val="00EC712B"/>
    <w:rsid w:val="00ED0BC4"/>
    <w:rsid w:val="00ED31D3"/>
    <w:rsid w:val="00F0499C"/>
    <w:rsid w:val="00F13F77"/>
    <w:rsid w:val="00F3602A"/>
    <w:rsid w:val="00F42BE7"/>
    <w:rsid w:val="00F60F9C"/>
    <w:rsid w:val="00F74063"/>
    <w:rsid w:val="00F9359B"/>
    <w:rsid w:val="00FB218F"/>
    <w:rsid w:val="00FC2C66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F52"/>
  <w15:chartTrackingRefBased/>
  <w15:docId w15:val="{F4705071-AD31-4B95-86B6-6D4DE605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55F4E"/>
    <w:pPr>
      <w:suppressAutoHyphens/>
      <w:autoSpaceDE w:val="0"/>
      <w:autoSpaceDN w:val="0"/>
      <w:adjustRightInd w:val="0"/>
      <w:spacing w:line="256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5F4E"/>
    <w:rPr>
      <w:rFonts w:ascii="Times New Roman" w:hAnsi="Times New Roman" w:cs="Times New Roman" w:hint="default"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29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A0297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94600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19460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94600"/>
    <w:pPr>
      <w:tabs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19460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24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24D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0504"/>
    <w:pPr>
      <w:spacing w:after="0" w:line="240" w:lineRule="auto"/>
    </w:pPr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0504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BA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@postacert.sanita.it" TargetMode="External"/><Relationship Id="rId13" Type="http://schemas.openxmlformats.org/officeDocument/2006/relationships/hyperlink" Target="https://ec.europa.eu/health/documents/community-register/2021/20211208154383/anx_154383_it.pdf" TargetMode="External"/><Relationship Id="rId18" Type="http://schemas.openxmlformats.org/officeDocument/2006/relationships/hyperlink" Target="https://ec.europa.eu/health/documents/community-register/2021/20210106150575/dec_150575_it.pdf" TargetMode="External"/><Relationship Id="rId26" Type="http://schemas.openxmlformats.org/officeDocument/2006/relationships/hyperlink" Target="https://www.ema.europa.eu/en/documents/rmp-summary/covid-19-vaccine-janssen-epar-risk-management-plan_e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c.europa.eu/health/documents/community-register/2021/20211220154520/dec_154520_i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health/documents/community-register/2021/20211126154181/anx_154181_it.pdf" TargetMode="External"/><Relationship Id="rId17" Type="http://schemas.openxmlformats.org/officeDocument/2006/relationships/hyperlink" Target="https://ec.europa.eu/health/documents/community-register/html/h1528.htm" TargetMode="External"/><Relationship Id="rId25" Type="http://schemas.openxmlformats.org/officeDocument/2006/relationships/hyperlink" Target="https://www.ema.europa.eu/en/documents/rmp-summary/vaxzevria-previously-covid-19-vaccine-astrazeneca-epar-risk-management-plan_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health/documents/community-register/2022/20220112154605/anx_154605_it.pdf" TargetMode="External"/><Relationship Id="rId20" Type="http://schemas.openxmlformats.org/officeDocument/2006/relationships/hyperlink" Target="https://ec.europa.eu/health/documents/community-register/2021/20210311151284/dec_151284_it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esco.milo@agenziariscossione.gov.it" TargetMode="External"/><Relationship Id="rId24" Type="http://schemas.openxmlformats.org/officeDocument/2006/relationships/hyperlink" Target="https://www.ema.europa.eu/en/documents/rmp-summary/spikevax-previously-covid-19-vaccine-moderna-epar-risk-management-plan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health/documents/community-register/2021/20211216154458/anx_154458_it.pdf" TargetMode="External"/><Relationship Id="rId23" Type="http://schemas.openxmlformats.org/officeDocument/2006/relationships/hyperlink" Target="https://www.ema.europa.eu/en/documents/rmp-summary/comirnaty-epar-risk-management-plan_en.pdf" TargetMode="External"/><Relationship Id="rId28" Type="http://schemas.openxmlformats.org/officeDocument/2006/relationships/hyperlink" Target="https://www.adrreports.eu/it/covid19_message.html" TargetMode="External"/><Relationship Id="rId10" Type="http://schemas.openxmlformats.org/officeDocument/2006/relationships/hyperlink" Target="mailto:protocollo@pec.agenziariscossione.gov.it" TargetMode="External"/><Relationship Id="rId19" Type="http://schemas.openxmlformats.org/officeDocument/2006/relationships/hyperlink" Target="https://ec.europa.eu/health/documents/community-register/2021/20210129150842/dec_150842_it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bligovaccinale@sanit&#224;.it" TargetMode="External"/><Relationship Id="rId14" Type="http://schemas.openxmlformats.org/officeDocument/2006/relationships/hyperlink" Target="https://ec.europa.eu/health/documents/community-register/2021/20211123154128/anx_154128_it.pdf" TargetMode="External"/><Relationship Id="rId22" Type="http://schemas.openxmlformats.org/officeDocument/2006/relationships/hyperlink" Target="https://www.ema.europa.eu/en/documents/overview/comirnaty-epar-medicine-overview_it.pdf" TargetMode="External"/><Relationship Id="rId27" Type="http://schemas.openxmlformats.org/officeDocument/2006/relationships/hyperlink" Target="https://www.mdpi.com/1467-3045/44/3/73/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94D5-0C36-42E0-BFCF-AC6F36F3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ACS Data Systems AG</Company>
  <LinksUpToDate>false</LinksUpToDate>
  <CharactersWithSpaces>25226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Holzeisen</dc:creator>
  <cp:keywords/>
  <dc:description/>
  <cp:lastModifiedBy>Renate Holzeisen</cp:lastModifiedBy>
  <cp:revision>2</cp:revision>
  <cp:lastPrinted>2022-04-06T15:09:00Z</cp:lastPrinted>
  <dcterms:created xsi:type="dcterms:W3CDTF">2022-04-06T16:19:00Z</dcterms:created>
  <dcterms:modified xsi:type="dcterms:W3CDTF">2022-04-06T16:19:00Z</dcterms:modified>
</cp:coreProperties>
</file>